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2479C651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6424A7">
        <w:rPr>
          <w:rFonts w:ascii="ＭＳ ゴシック" w:eastAsia="ＭＳ ゴシック" w:hAnsi="ＭＳ ゴシック" w:hint="eastAsia"/>
          <w:bCs/>
          <w:szCs w:val="21"/>
        </w:rPr>
        <w:t>スクリーニング機器賃貸借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0B03AD2D" w14:textId="356B54C7" w:rsidR="004F2FA6" w:rsidRPr="006A4D8A" w:rsidRDefault="004F2F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・ポストごとの単価が分かる詳細内訳書をあわせて提出すること（任意書式）。</w:t>
      </w:r>
    </w:p>
    <w:p w14:paraId="7BFCA799" w14:textId="5AD495B3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566C8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056610DB" w:rsidR="00F64DF5" w:rsidRPr="006A4D8A" w:rsidRDefault="002C64EF" w:rsidP="006424A7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6424A7">
        <w:rPr>
          <w:rFonts w:ascii="ＭＳ ゴシック" w:eastAsia="ＭＳ ゴシック" w:hAnsi="ＭＳ ゴシック" w:hint="eastAsia"/>
          <w:bCs/>
          <w:szCs w:val="21"/>
        </w:rPr>
        <w:t>スクリーニング機器賃貸借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77777777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5B9B64F1" w14:textId="77777777" w:rsidR="001E1B8C" w:rsidRPr="006A4D8A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・ポストごとの単価が分かる詳細内訳書をあわせて提出すること（任意書式）。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95D11" w14:textId="77777777" w:rsidR="00F50ADD" w:rsidRDefault="00F50ADD" w:rsidP="00CB4FD2">
      <w:r>
        <w:separator/>
      </w:r>
    </w:p>
  </w:endnote>
  <w:endnote w:type="continuationSeparator" w:id="0">
    <w:p w14:paraId="7A044616" w14:textId="77777777" w:rsidR="00F50ADD" w:rsidRDefault="00F50ADD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EB053" w14:textId="77777777" w:rsidR="00F50ADD" w:rsidRDefault="00F50ADD" w:rsidP="00CB4FD2">
      <w:r>
        <w:separator/>
      </w:r>
    </w:p>
  </w:footnote>
  <w:footnote w:type="continuationSeparator" w:id="0">
    <w:p w14:paraId="74AA7A08" w14:textId="77777777" w:rsidR="00F50ADD" w:rsidRDefault="00F50ADD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96839"/>
    <w:rsid w:val="001A33F1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D4E52"/>
    <w:rsid w:val="005E0DCE"/>
    <w:rsid w:val="005F21F3"/>
    <w:rsid w:val="006048A5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75B72"/>
    <w:rsid w:val="00CB4FD2"/>
    <w:rsid w:val="00CE7243"/>
    <w:rsid w:val="00D02CBE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3A98"/>
    <w:rsid w:val="00F36FB0"/>
    <w:rsid w:val="00F50ADD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8F6D0-E578-437F-A1BA-808109EFA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2023-10-31T06:07:00Z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