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45F322" w14:textId="4F2C054A" w:rsidR="003F03E0" w:rsidRPr="003F03E0" w:rsidRDefault="003F03E0" w:rsidP="003F03E0">
      <w:pPr>
        <w:jc w:val="center"/>
        <w:rPr>
          <w:b/>
          <w:bCs/>
        </w:rPr>
      </w:pPr>
      <w:r w:rsidRPr="0023363F">
        <w:rPr>
          <w:rFonts w:ascii="ＭＳ 明朝" w:eastAsia="ＭＳ 明朝" w:hAnsi="ＭＳ 明朝"/>
          <w:b/>
          <w:bCs/>
        </w:rPr>
        <w:t>仕</w:t>
      </w:r>
      <w:r w:rsidR="00164724">
        <w:rPr>
          <w:rFonts w:ascii="ＭＳ 明朝" w:eastAsia="ＭＳ 明朝" w:hAnsi="ＭＳ 明朝" w:hint="eastAsia"/>
          <w:b/>
          <w:bCs/>
        </w:rPr>
        <w:t xml:space="preserve"> </w:t>
      </w:r>
      <w:r w:rsidRPr="0023363F">
        <w:rPr>
          <w:rFonts w:ascii="ＭＳ 明朝" w:eastAsia="ＭＳ 明朝" w:hAnsi="ＭＳ 明朝"/>
          <w:b/>
          <w:bCs/>
        </w:rPr>
        <w:t>様</w:t>
      </w:r>
      <w:r w:rsidR="00164724">
        <w:rPr>
          <w:rFonts w:ascii="ＭＳ 明朝" w:eastAsia="ＭＳ 明朝" w:hAnsi="ＭＳ 明朝" w:hint="eastAsia"/>
          <w:b/>
          <w:bCs/>
        </w:rPr>
        <w:t xml:space="preserve"> </w:t>
      </w:r>
      <w:r w:rsidRPr="0023363F">
        <w:rPr>
          <w:rFonts w:ascii="ＭＳ 明朝" w:eastAsia="ＭＳ 明朝" w:hAnsi="ＭＳ 明朝"/>
          <w:b/>
          <w:bCs/>
        </w:rPr>
        <w:t>書</w:t>
      </w:r>
    </w:p>
    <w:p w14:paraId="253A977F" w14:textId="560E7948" w:rsidR="003F03E0" w:rsidRDefault="003F03E0" w:rsidP="003F03E0"/>
    <w:p w14:paraId="2F8D4927" w14:textId="546A6607" w:rsidR="003F03E0" w:rsidRDefault="003F03E0" w:rsidP="003F03E0">
      <w:r>
        <w:rPr>
          <w:rFonts w:hint="eastAsia"/>
        </w:rPr>
        <w:t>１</w:t>
      </w:r>
      <w:r w:rsidR="002A20BA">
        <w:rPr>
          <w:rFonts w:hint="eastAsia"/>
        </w:rPr>
        <w:t>．</w:t>
      </w:r>
      <w:r>
        <w:t>案件名称</w:t>
      </w:r>
    </w:p>
    <w:p w14:paraId="5A3C22ED" w14:textId="71C7B1DF" w:rsidR="003F03E0" w:rsidRDefault="00164724" w:rsidP="007B37FF">
      <w:pPr>
        <w:ind w:leftChars="100" w:left="210" w:firstLineChars="100" w:firstLine="210"/>
      </w:pPr>
      <w:r>
        <w:t>2025年日本国際博覧会会場外施設等で使用する</w:t>
      </w:r>
      <w:r>
        <w:rPr>
          <w:rFonts w:hint="eastAsia"/>
        </w:rPr>
        <w:t>非化石電気調達業務</w:t>
      </w:r>
      <w:r>
        <w:t>（単価契約）</w:t>
      </w:r>
    </w:p>
    <w:p w14:paraId="5014BC0F" w14:textId="77777777" w:rsidR="003F03E0" w:rsidRPr="00026497" w:rsidRDefault="003F03E0" w:rsidP="003F03E0"/>
    <w:p w14:paraId="467F5CBF" w14:textId="79195340" w:rsidR="003F03E0" w:rsidRDefault="003F03E0" w:rsidP="003F03E0">
      <w:r>
        <w:rPr>
          <w:rFonts w:hint="eastAsia"/>
        </w:rPr>
        <w:t>２</w:t>
      </w:r>
      <w:r w:rsidR="002A20BA">
        <w:rPr>
          <w:rFonts w:hint="eastAsia"/>
        </w:rPr>
        <w:t>．</w:t>
      </w:r>
      <w:r>
        <w:t>概要</w:t>
      </w:r>
    </w:p>
    <w:p w14:paraId="0D726F74" w14:textId="5D5D9F0B" w:rsidR="006863F3" w:rsidRDefault="00DB1952" w:rsidP="003F03E0">
      <w:pPr>
        <w:ind w:leftChars="100" w:left="210" w:firstLineChars="100" w:firstLine="210"/>
      </w:pPr>
      <w:r>
        <w:rPr>
          <w:rFonts w:hint="eastAsia"/>
        </w:rPr>
        <w:t>受電</w:t>
      </w:r>
      <w:r w:rsidR="006863F3">
        <w:rPr>
          <w:rFonts w:hint="eastAsia"/>
        </w:rPr>
        <w:t>および使用場所</w:t>
      </w:r>
    </w:p>
    <w:p w14:paraId="3D7944A6" w14:textId="79675F91" w:rsidR="00DB1952" w:rsidRDefault="00547DDB" w:rsidP="003404B5">
      <w:pPr>
        <w:pStyle w:val="a9"/>
        <w:numPr>
          <w:ilvl w:val="0"/>
          <w:numId w:val="7"/>
        </w:numPr>
      </w:pPr>
      <w:r>
        <w:rPr>
          <w:rFonts w:hint="eastAsia"/>
        </w:rPr>
        <w:t>夢洲</w:t>
      </w:r>
      <w:r w:rsidR="00AD73ED">
        <w:rPr>
          <w:rFonts w:hint="eastAsia"/>
        </w:rPr>
        <w:t>障がい者用駐車場</w:t>
      </w:r>
      <w:r w:rsidR="003E78E2">
        <w:rPr>
          <w:rFonts w:hint="eastAsia"/>
        </w:rPr>
        <w:t>（大阪市此花区</w:t>
      </w:r>
      <w:r w:rsidR="003404B5">
        <w:t>）</w:t>
      </w:r>
      <w:r w:rsidR="003404B5">
        <w:rPr>
          <w:rFonts w:hint="eastAsia"/>
        </w:rPr>
        <w:t xml:space="preserve"> </w:t>
      </w:r>
      <w:r w:rsidR="00927EF6">
        <w:rPr>
          <w:rFonts w:hint="eastAsia"/>
        </w:rPr>
        <w:t>高圧受電設備</w:t>
      </w:r>
    </w:p>
    <w:p w14:paraId="3C554EB7" w14:textId="58E880DE" w:rsidR="00D36BBD" w:rsidRDefault="00D36BBD" w:rsidP="008D7DD6">
      <w:pPr>
        <w:pStyle w:val="a9"/>
        <w:numPr>
          <w:ilvl w:val="0"/>
          <w:numId w:val="7"/>
        </w:numPr>
      </w:pPr>
      <w:r>
        <w:rPr>
          <w:rFonts w:hint="eastAsia"/>
        </w:rPr>
        <w:t>夢洲北岸</w:t>
      </w:r>
      <w:r w:rsidR="0040088B">
        <w:rPr>
          <w:rFonts w:hint="eastAsia"/>
        </w:rPr>
        <w:t>西‘（桟橋）（大阪市此花区</w:t>
      </w:r>
      <w:r w:rsidR="003404B5">
        <w:t>）</w:t>
      </w:r>
      <w:r w:rsidR="00207B25">
        <w:rPr>
          <w:rFonts w:hint="eastAsia"/>
        </w:rPr>
        <w:t xml:space="preserve">    臨時電灯</w:t>
      </w:r>
    </w:p>
    <w:p w14:paraId="3556B77D" w14:textId="632FD042" w:rsidR="00947D7F" w:rsidRDefault="00947D7F" w:rsidP="008D7DD6">
      <w:pPr>
        <w:pStyle w:val="a9"/>
        <w:numPr>
          <w:ilvl w:val="0"/>
          <w:numId w:val="7"/>
        </w:numPr>
      </w:pPr>
      <w:r>
        <w:rPr>
          <w:rFonts w:hint="eastAsia"/>
        </w:rPr>
        <w:t>舞洲万博P＆R駐車場（</w:t>
      </w:r>
      <w:r w:rsidR="00A81EB2">
        <w:rPr>
          <w:rFonts w:hint="eastAsia"/>
        </w:rPr>
        <w:t>大阪市此花区</w:t>
      </w:r>
      <w:r>
        <w:rPr>
          <w:rFonts w:hint="eastAsia"/>
        </w:rPr>
        <w:t>）</w:t>
      </w:r>
      <w:r w:rsidR="00A81EB2">
        <w:rPr>
          <w:rFonts w:hint="eastAsia"/>
        </w:rPr>
        <w:t xml:space="preserve">　高圧、</w:t>
      </w:r>
      <w:r w:rsidR="00CB5CA0">
        <w:rPr>
          <w:rFonts w:hint="eastAsia"/>
        </w:rPr>
        <w:t>低圧（電灯、動力）受電設備</w:t>
      </w:r>
    </w:p>
    <w:p w14:paraId="705EB251" w14:textId="1606E1FA" w:rsidR="00DE3C62" w:rsidRDefault="00DE3C62" w:rsidP="00DE3C62">
      <w:pPr>
        <w:pStyle w:val="a9"/>
        <w:numPr>
          <w:ilvl w:val="0"/>
          <w:numId w:val="6"/>
        </w:numPr>
      </w:pPr>
      <w:r>
        <w:rPr>
          <w:rFonts w:hint="eastAsia"/>
        </w:rPr>
        <w:t xml:space="preserve">桜島駅バスターミナル（大阪市此花区）　</w:t>
      </w:r>
      <w:r w:rsidR="002F748D">
        <w:rPr>
          <w:rFonts w:hint="eastAsia"/>
        </w:rPr>
        <w:t>高圧</w:t>
      </w:r>
      <w:r w:rsidR="00CB5CA0">
        <w:rPr>
          <w:rFonts w:hint="eastAsia"/>
        </w:rPr>
        <w:t>受電設備</w:t>
      </w:r>
    </w:p>
    <w:p w14:paraId="2CABFFCB" w14:textId="6BDD35B7" w:rsidR="002F748D" w:rsidRDefault="000A3CEE" w:rsidP="00DE3C62">
      <w:pPr>
        <w:pStyle w:val="a9"/>
        <w:numPr>
          <w:ilvl w:val="0"/>
          <w:numId w:val="6"/>
        </w:numPr>
      </w:pPr>
      <w:r>
        <w:rPr>
          <w:rFonts w:hint="eastAsia"/>
        </w:rPr>
        <w:t>尼崎万博P＆R駐車場</w:t>
      </w:r>
      <w:r w:rsidR="00C538AB">
        <w:rPr>
          <w:rFonts w:hint="eastAsia"/>
        </w:rPr>
        <w:t>（尼崎市</w:t>
      </w:r>
      <w:r w:rsidR="0023151E">
        <w:rPr>
          <w:rFonts w:hint="eastAsia"/>
        </w:rPr>
        <w:t>船出地先</w:t>
      </w:r>
      <w:r w:rsidR="00C538AB">
        <w:rPr>
          <w:rFonts w:hint="eastAsia"/>
        </w:rPr>
        <w:t>）</w:t>
      </w:r>
      <w:r w:rsidR="003D2462">
        <w:rPr>
          <w:rFonts w:hint="eastAsia"/>
        </w:rPr>
        <w:t>高圧受電設備</w:t>
      </w:r>
    </w:p>
    <w:p w14:paraId="2034A09C" w14:textId="1A4750D8" w:rsidR="00430314" w:rsidRDefault="000A3CEE" w:rsidP="00430314">
      <w:pPr>
        <w:pStyle w:val="a9"/>
        <w:numPr>
          <w:ilvl w:val="0"/>
          <w:numId w:val="6"/>
        </w:numPr>
      </w:pPr>
      <w:r>
        <w:rPr>
          <w:rFonts w:hint="eastAsia"/>
        </w:rPr>
        <w:t>堺</w:t>
      </w:r>
      <w:r w:rsidR="00C538AB">
        <w:rPr>
          <w:rFonts w:hint="eastAsia"/>
        </w:rPr>
        <w:t>万博</w:t>
      </w:r>
      <w:r>
        <w:rPr>
          <w:rFonts w:hint="eastAsia"/>
        </w:rPr>
        <w:t>P＆R駐車場</w:t>
      </w:r>
      <w:r w:rsidR="00C538AB">
        <w:rPr>
          <w:rFonts w:hint="eastAsia"/>
        </w:rPr>
        <w:t>（堺市堺区）</w:t>
      </w:r>
      <w:r w:rsidR="003D2462">
        <w:rPr>
          <w:rFonts w:hint="eastAsia"/>
        </w:rPr>
        <w:t xml:space="preserve">　　　　高圧</w:t>
      </w:r>
      <w:r w:rsidR="00430314">
        <w:rPr>
          <w:rFonts w:hint="eastAsia"/>
        </w:rPr>
        <w:t>、低圧（電灯、動力）受電設備</w:t>
      </w:r>
    </w:p>
    <w:p w14:paraId="4907B1EE" w14:textId="12E741C2" w:rsidR="0040088B" w:rsidRDefault="0040088B" w:rsidP="00430314">
      <w:pPr>
        <w:pStyle w:val="a9"/>
        <w:numPr>
          <w:ilvl w:val="0"/>
          <w:numId w:val="6"/>
        </w:numPr>
      </w:pPr>
      <w:r>
        <w:rPr>
          <w:rFonts w:hint="eastAsia"/>
        </w:rPr>
        <w:t>弁天町</w:t>
      </w:r>
      <w:r w:rsidR="008C431E">
        <w:rPr>
          <w:rFonts w:hint="eastAsia"/>
        </w:rPr>
        <w:t>駅バスターミナル（大阪市港区）</w:t>
      </w:r>
      <w:r w:rsidR="00F24F34">
        <w:rPr>
          <w:rFonts w:hint="eastAsia"/>
        </w:rPr>
        <w:t xml:space="preserve">  臨時電灯</w:t>
      </w:r>
    </w:p>
    <w:p w14:paraId="68CDA54A" w14:textId="5F9068EC" w:rsidR="00430314" w:rsidRDefault="00430314" w:rsidP="00430314"/>
    <w:p w14:paraId="6478F189" w14:textId="49B52155" w:rsidR="00700FD9" w:rsidRDefault="00700FD9" w:rsidP="00430314">
      <w:r>
        <w:rPr>
          <w:rFonts w:hint="eastAsia"/>
        </w:rPr>
        <w:t>３　仕様</w:t>
      </w:r>
    </w:p>
    <w:p w14:paraId="0ED6F9ED" w14:textId="30359FE9" w:rsidR="00700FD9" w:rsidRDefault="00700FD9" w:rsidP="00700FD9">
      <w:r>
        <w:rPr>
          <w:rFonts w:hint="eastAsia"/>
        </w:rPr>
        <w:t>（１）調達期間及び計量期間</w:t>
      </w:r>
    </w:p>
    <w:p w14:paraId="683EB4D0" w14:textId="3B798DDA" w:rsidR="00700FD9" w:rsidRDefault="00700FD9" w:rsidP="00700FD9">
      <w:r>
        <w:rPr>
          <w:rFonts w:hint="eastAsia"/>
        </w:rPr>
        <w:t xml:space="preserve">　　　調達期間</w:t>
      </w:r>
      <w:r w:rsidR="00823715">
        <w:rPr>
          <w:rFonts w:hint="eastAsia"/>
        </w:rPr>
        <w:t>（予定）</w:t>
      </w:r>
    </w:p>
    <w:p w14:paraId="48AB86D9" w14:textId="1D245B25" w:rsidR="00700FD9" w:rsidRDefault="00700FD9" w:rsidP="00823715">
      <w:pPr>
        <w:ind w:firstLineChars="400" w:firstLine="840"/>
      </w:pPr>
      <w:r>
        <w:rPr>
          <w:rFonts w:hint="eastAsia"/>
        </w:rPr>
        <w:t>令和</w:t>
      </w:r>
      <w:r>
        <w:t>7年１月</w:t>
      </w:r>
      <w:r w:rsidR="00430314">
        <w:rPr>
          <w:rFonts w:hint="eastAsia"/>
        </w:rPr>
        <w:t>1</w:t>
      </w:r>
      <w:r w:rsidR="006869D5">
        <w:rPr>
          <w:rFonts w:hint="eastAsia"/>
        </w:rPr>
        <w:t>0</w:t>
      </w:r>
      <w:r>
        <w:t>日0時から令和７年</w:t>
      </w:r>
      <w:r w:rsidR="00430314">
        <w:rPr>
          <w:rFonts w:hint="eastAsia"/>
        </w:rPr>
        <w:t>10</w:t>
      </w:r>
      <w:r>
        <w:t>月</w:t>
      </w:r>
      <w:r w:rsidR="00430314">
        <w:rPr>
          <w:rFonts w:hint="eastAsia"/>
        </w:rPr>
        <w:t>31</w:t>
      </w:r>
      <w:r>
        <w:t>日24時までとする。</w:t>
      </w:r>
    </w:p>
    <w:p w14:paraId="77611343" w14:textId="6E418BA2" w:rsidR="00700FD9" w:rsidRDefault="00700FD9" w:rsidP="00700FD9">
      <w:r>
        <w:rPr>
          <w:rFonts w:hint="eastAsia"/>
        </w:rPr>
        <w:t xml:space="preserve">　　　計量期間</w:t>
      </w:r>
    </w:p>
    <w:p w14:paraId="4B5A7CB6" w14:textId="317A162D" w:rsidR="000140DF" w:rsidRDefault="00700FD9" w:rsidP="000140DF">
      <w:r>
        <w:rPr>
          <w:rFonts w:hint="eastAsia"/>
        </w:rPr>
        <w:t xml:space="preserve">　　　　毎月１日の０時から当該月の最終日の</w:t>
      </w:r>
      <w:r>
        <w:t>24時までの期間</w:t>
      </w:r>
    </w:p>
    <w:p w14:paraId="6FEAE272" w14:textId="72B07735" w:rsidR="00700FD9" w:rsidRDefault="00825425" w:rsidP="00825425">
      <w:pPr>
        <w:ind w:firstLineChars="300" w:firstLine="630"/>
      </w:pPr>
      <w:r>
        <w:rPr>
          <w:rFonts w:hint="eastAsia"/>
        </w:rPr>
        <w:t>※</w:t>
      </w:r>
      <w:r w:rsidR="00E34C0E">
        <w:rPr>
          <w:rFonts w:hint="eastAsia"/>
        </w:rPr>
        <w:t>開始日時および終了日時については、契約後、協会職員</w:t>
      </w:r>
      <w:r w:rsidR="009B2559">
        <w:rPr>
          <w:rFonts w:hint="eastAsia"/>
        </w:rPr>
        <w:t>と</w:t>
      </w:r>
      <w:r w:rsidR="00830D8D">
        <w:rPr>
          <w:rFonts w:hint="eastAsia"/>
        </w:rPr>
        <w:t>協議の上、確定すること。</w:t>
      </w:r>
    </w:p>
    <w:p w14:paraId="20FE2C8C" w14:textId="1C6A7EA5" w:rsidR="00700FD9" w:rsidRPr="009B2559" w:rsidRDefault="00700FD9" w:rsidP="00700FD9"/>
    <w:p w14:paraId="51FFB786" w14:textId="3D07051D" w:rsidR="00700FD9" w:rsidRDefault="00700FD9" w:rsidP="00700FD9">
      <w:r>
        <w:rPr>
          <w:rFonts w:hint="eastAsia"/>
        </w:rPr>
        <w:t>（２）</w:t>
      </w:r>
      <w:r w:rsidR="004E011C">
        <w:rPr>
          <w:rFonts w:hint="eastAsia"/>
        </w:rPr>
        <w:t>電気構成等</w:t>
      </w:r>
    </w:p>
    <w:p w14:paraId="5A306027" w14:textId="4A99686F" w:rsidR="00700FD9" w:rsidRDefault="00700FD9" w:rsidP="00807417">
      <w:pPr>
        <w:ind w:firstLineChars="200" w:firstLine="420"/>
      </w:pPr>
      <w:r>
        <w:rPr>
          <w:rFonts w:hint="eastAsia"/>
        </w:rPr>
        <w:t>①　電力構成</w:t>
      </w:r>
    </w:p>
    <w:p w14:paraId="3B16659A" w14:textId="6E982B80" w:rsidR="00807417" w:rsidRDefault="00700FD9" w:rsidP="00700FD9">
      <w:r>
        <w:rPr>
          <w:rFonts w:hint="eastAsia"/>
        </w:rPr>
        <w:t xml:space="preserve">　　　　</w:t>
      </w:r>
      <w:r w:rsidR="00807417">
        <w:rPr>
          <w:rFonts w:hint="eastAsia"/>
        </w:rPr>
        <w:t xml:space="preserve">　</w:t>
      </w:r>
      <w:r>
        <w:rPr>
          <w:rFonts w:hint="eastAsia"/>
        </w:rPr>
        <w:t>以下の</w:t>
      </w:r>
      <w:r>
        <w:t>A～Dの電力（混合による電力も可）とする。</w:t>
      </w:r>
    </w:p>
    <w:p w14:paraId="38F30EE7" w14:textId="246C98AE" w:rsidR="00241A7E" w:rsidRDefault="00241A7E" w:rsidP="00241A7E">
      <w:pPr>
        <w:ind w:firstLineChars="400" w:firstLine="840"/>
        <w:rPr>
          <w:rFonts w:hint="eastAsia"/>
        </w:rPr>
      </w:pPr>
      <w:r>
        <w:rPr>
          <w:rFonts w:hint="eastAsia"/>
        </w:rPr>
        <w:t xml:space="preserve">A  </w:t>
      </w:r>
      <w:r>
        <w:rPr>
          <w:rFonts w:hint="eastAsia"/>
        </w:rPr>
        <w:t>非化石証書等を付けた</w:t>
      </w:r>
      <w:r>
        <w:t>FIT電力</w:t>
      </w:r>
    </w:p>
    <w:p w14:paraId="03EB09DB" w14:textId="77777777" w:rsidR="00700FD9" w:rsidRDefault="00700FD9" w:rsidP="00807417">
      <w:pPr>
        <w:ind w:firstLineChars="400" w:firstLine="840"/>
      </w:pPr>
      <w:r>
        <w:t>B　再生可能エネルギー由来（非FIT）の電力</w:t>
      </w:r>
    </w:p>
    <w:p w14:paraId="6AE5CE27" w14:textId="77777777" w:rsidR="00700FD9" w:rsidRDefault="00700FD9" w:rsidP="00807417">
      <w:pPr>
        <w:ind w:firstLineChars="400" w:firstLine="840"/>
      </w:pPr>
      <w:r>
        <w:t>C　原子力発電由来の電力</w:t>
      </w:r>
    </w:p>
    <w:p w14:paraId="0D22A5D5" w14:textId="77777777" w:rsidR="00700FD9" w:rsidRDefault="00700FD9" w:rsidP="00807417">
      <w:pPr>
        <w:ind w:firstLineChars="400" w:firstLine="840"/>
      </w:pPr>
      <w:r>
        <w:t xml:space="preserve">D　ゼロエミッション火力発電（水素・アンモニア）由来の電力　　</w:t>
      </w:r>
    </w:p>
    <w:p w14:paraId="05409301" w14:textId="77777777" w:rsidR="00700FD9" w:rsidRDefault="00700FD9" w:rsidP="00807417">
      <w:pPr>
        <w:ind w:firstLineChars="200" w:firstLine="420"/>
      </w:pPr>
      <w:r>
        <w:rPr>
          <w:rFonts w:hint="eastAsia"/>
        </w:rPr>
        <w:t>②　環境価値</w:t>
      </w:r>
    </w:p>
    <w:p w14:paraId="195450CD" w14:textId="77777777" w:rsidR="00700FD9" w:rsidRDefault="00700FD9" w:rsidP="00807417">
      <w:pPr>
        <w:ind w:firstLineChars="300" w:firstLine="630"/>
      </w:pPr>
      <w:r>
        <w:rPr>
          <w:rFonts w:hint="eastAsia"/>
        </w:rPr>
        <w:t>以下のいずれかの非化石証書とする。</w:t>
      </w:r>
    </w:p>
    <w:p w14:paraId="52AC8E3B" w14:textId="77777777" w:rsidR="00700FD9" w:rsidRDefault="00700FD9" w:rsidP="00807417">
      <w:pPr>
        <w:ind w:leftChars="300" w:left="840" w:hangingChars="100" w:hanging="210"/>
      </w:pPr>
      <w:r>
        <w:rPr>
          <w:rFonts w:hint="eastAsia"/>
        </w:rPr>
        <w:t>・非化石証書等（トラッキング付非化石証書（再エネ指定）、再エネ指定非化石証書、グリーン電力証書又は</w:t>
      </w:r>
      <w:r>
        <w:t xml:space="preserve"> 再エネ電力由来 J-クレジット）が付いていること</w:t>
      </w:r>
    </w:p>
    <w:p w14:paraId="40D94B65" w14:textId="77777777" w:rsidR="00700FD9" w:rsidRDefault="00700FD9" w:rsidP="00807417">
      <w:pPr>
        <w:ind w:leftChars="300" w:left="840" w:hangingChars="100" w:hanging="210"/>
      </w:pPr>
      <w:r>
        <w:rPr>
          <w:rFonts w:hint="eastAsia"/>
        </w:rPr>
        <w:t>・自らもしくは相対取引によって取得した</w:t>
      </w:r>
      <w:r>
        <w:t xml:space="preserve"> 非 FIT 非化石証書（再エネ指定、再エネ指定なし）が付いていること</w:t>
      </w:r>
    </w:p>
    <w:p w14:paraId="7D08BF83" w14:textId="77777777" w:rsidR="00804BE6" w:rsidRDefault="00804BE6" w:rsidP="00700FD9"/>
    <w:p w14:paraId="2DA57FAF" w14:textId="77777777" w:rsidR="00BB290A" w:rsidRDefault="00BB290A" w:rsidP="00700FD9"/>
    <w:p w14:paraId="12C0F3D8" w14:textId="77777777" w:rsidR="00F11312" w:rsidRDefault="00F11312" w:rsidP="00F11312">
      <w:r>
        <w:rPr>
          <w:rFonts w:hint="eastAsia"/>
        </w:rPr>
        <w:t>（３）契約電力、予定使用電力量等</w:t>
      </w:r>
    </w:p>
    <w:p w14:paraId="0F575C9F" w14:textId="77777777" w:rsidR="00F11312" w:rsidRDefault="00F11312" w:rsidP="007B3587">
      <w:pPr>
        <w:ind w:firstLineChars="200" w:firstLine="420"/>
      </w:pPr>
      <w:r>
        <w:rPr>
          <w:rFonts w:hint="eastAsia"/>
        </w:rPr>
        <w:t>①　契約電力</w:t>
      </w:r>
    </w:p>
    <w:p w14:paraId="59D39773" w14:textId="035FACEE" w:rsidR="00EB6BE5" w:rsidRDefault="00EB6BE5" w:rsidP="00B65C0C">
      <w:pPr>
        <w:ind w:leftChars="200" w:left="630" w:hangingChars="100" w:hanging="210"/>
      </w:pPr>
      <w:r>
        <w:rPr>
          <w:rFonts w:hint="eastAsia"/>
        </w:rPr>
        <w:t xml:space="preserve">　　</w:t>
      </w:r>
      <w:r w:rsidR="00446F8A">
        <w:rPr>
          <w:rFonts w:hint="eastAsia"/>
        </w:rPr>
        <w:t>別紙</w:t>
      </w:r>
      <w:r w:rsidR="00130E39">
        <w:rPr>
          <w:rFonts w:hint="eastAsia"/>
        </w:rPr>
        <w:t>に示す各施設に必要な契約電力を確保するものとし、</w:t>
      </w:r>
      <w:r w:rsidR="00B65C0C">
        <w:rPr>
          <w:rFonts w:hint="eastAsia"/>
        </w:rPr>
        <w:t>500kw未満を基本とするが、契約後、変更となる場合は設計変更協議の対象とする。</w:t>
      </w:r>
    </w:p>
    <w:p w14:paraId="2588E740" w14:textId="65D048C9" w:rsidR="00F11312" w:rsidRDefault="00B65C0C" w:rsidP="00B65C0C">
      <w:pPr>
        <w:ind w:leftChars="300" w:left="630" w:firstLineChars="100" w:firstLine="210"/>
      </w:pPr>
      <w:r>
        <w:rPr>
          <w:rFonts w:hint="eastAsia"/>
        </w:rPr>
        <w:t>なお、契約電力は</w:t>
      </w:r>
      <w:r w:rsidR="00F11312">
        <w:rPr>
          <w:rFonts w:hint="eastAsia"/>
        </w:rPr>
        <w:t>契約上使用できる最大電力をいい、</w:t>
      </w:r>
      <w:r w:rsidR="00F11312">
        <w:t>30分最大需要電力計により計量される値が原則としてこれを超えないものとする。</w:t>
      </w:r>
    </w:p>
    <w:p w14:paraId="57768359" w14:textId="1B777985" w:rsidR="00F11312" w:rsidRDefault="00F11312" w:rsidP="0026448C"/>
    <w:p w14:paraId="1D0E68E8" w14:textId="77777777" w:rsidR="0026448C" w:rsidRDefault="00F11312" w:rsidP="00F11312">
      <w:r>
        <w:rPr>
          <w:rFonts w:hint="eastAsia"/>
        </w:rPr>
        <w:t xml:space="preserve">　　②　予定使用電力量</w:t>
      </w:r>
    </w:p>
    <w:p w14:paraId="3FF334D2" w14:textId="1E81B5E1" w:rsidR="0026448C" w:rsidRDefault="0026448C" w:rsidP="00D86653">
      <w:pPr>
        <w:ind w:firstLineChars="400" w:firstLine="840"/>
      </w:pPr>
      <w:r>
        <w:rPr>
          <w:rFonts w:hint="eastAsia"/>
        </w:rPr>
        <w:t>各施設の予定使用電力量は別紙</w:t>
      </w:r>
      <w:r w:rsidR="00BB290A">
        <w:rPr>
          <w:rFonts w:hint="eastAsia"/>
        </w:rPr>
        <w:t>(様式</w:t>
      </w:r>
      <w:r w:rsidR="00D86653">
        <w:rPr>
          <w:rFonts w:hint="eastAsia"/>
        </w:rPr>
        <w:t>15-2</w:t>
      </w:r>
      <w:r w:rsidR="00BB290A">
        <w:rPr>
          <w:rFonts w:hint="eastAsia"/>
        </w:rPr>
        <w:t>)</w:t>
      </w:r>
      <w:r>
        <w:rPr>
          <w:rFonts w:hint="eastAsia"/>
        </w:rPr>
        <w:t>のとおり。</w:t>
      </w:r>
    </w:p>
    <w:p w14:paraId="298D40A4" w14:textId="77777777" w:rsidR="00F11312" w:rsidRDefault="00F11312" w:rsidP="00F11312"/>
    <w:p w14:paraId="44794319" w14:textId="7BA67470" w:rsidR="00F72811" w:rsidRDefault="00F72811" w:rsidP="00F11312">
      <w:r>
        <w:rPr>
          <w:rFonts w:hint="eastAsia"/>
        </w:rPr>
        <w:t>（４）責任区分について</w:t>
      </w:r>
    </w:p>
    <w:p w14:paraId="63DDD167" w14:textId="4919E9CD" w:rsidR="00F72811" w:rsidRDefault="00F72811" w:rsidP="000C60F5">
      <w:pPr>
        <w:ind w:left="735" w:hangingChars="350" w:hanging="735"/>
      </w:pPr>
      <w:r>
        <w:rPr>
          <w:rFonts w:hint="eastAsia"/>
        </w:rPr>
        <w:t xml:space="preserve">　　</w:t>
      </w:r>
      <w:r w:rsidR="000C60F5">
        <w:rPr>
          <w:rFonts w:hint="eastAsia"/>
        </w:rPr>
        <w:t xml:space="preserve"> </w:t>
      </w:r>
      <w:r>
        <w:rPr>
          <w:rFonts w:hint="eastAsia"/>
        </w:rPr>
        <w:t xml:space="preserve">　</w:t>
      </w:r>
      <w:r w:rsidR="000C60F5">
        <w:rPr>
          <w:rFonts w:hint="eastAsia"/>
        </w:rPr>
        <w:t xml:space="preserve"> </w:t>
      </w:r>
      <w:r>
        <w:rPr>
          <w:rFonts w:hint="eastAsia"/>
        </w:rPr>
        <w:t>当該施設の引き込み工事については、協会により実施するため、本業務委託で実施する電力供給</w:t>
      </w:r>
      <w:r w:rsidR="003A0F6C">
        <w:rPr>
          <w:rFonts w:hint="eastAsia"/>
        </w:rPr>
        <w:t>の責任区分については、</w:t>
      </w:r>
      <w:r>
        <w:rPr>
          <w:rFonts w:hint="eastAsia"/>
        </w:rPr>
        <w:t>既存引き込み施設を継承するものとする。</w:t>
      </w:r>
    </w:p>
    <w:p w14:paraId="2A490D0D" w14:textId="77777777" w:rsidR="00F11312" w:rsidRDefault="00F11312" w:rsidP="00F11312"/>
    <w:p w14:paraId="4F86705B" w14:textId="4382911C" w:rsidR="00F11312" w:rsidRDefault="00F11312" w:rsidP="00F11312">
      <w:r>
        <w:rPr>
          <w:rFonts w:hint="eastAsia"/>
        </w:rPr>
        <w:t>（</w:t>
      </w:r>
      <w:r w:rsidR="003A0F6C">
        <w:rPr>
          <w:rFonts w:hint="eastAsia"/>
        </w:rPr>
        <w:t>５</w:t>
      </w:r>
      <w:r>
        <w:rPr>
          <w:rFonts w:hint="eastAsia"/>
        </w:rPr>
        <w:t>）料金制度</w:t>
      </w:r>
    </w:p>
    <w:p w14:paraId="73913B95" w14:textId="5C76D935" w:rsidR="00F11312" w:rsidRDefault="00F11312" w:rsidP="005B0A85">
      <w:pPr>
        <w:ind w:left="420" w:hangingChars="200" w:hanging="420"/>
      </w:pPr>
      <w:r>
        <w:rPr>
          <w:rFonts w:hint="eastAsia"/>
        </w:rPr>
        <w:t xml:space="preserve">　</w:t>
      </w:r>
      <w:r w:rsidR="000C60F5">
        <w:rPr>
          <w:rFonts w:hint="eastAsia"/>
        </w:rPr>
        <w:t xml:space="preserve">    </w:t>
      </w:r>
      <w:r>
        <w:rPr>
          <w:rFonts w:hint="eastAsia"/>
        </w:rPr>
        <w:t xml:space="preserve">　料金制度は、基本料金と電力量料金に基づく</w:t>
      </w:r>
      <w:r w:rsidR="003A0F6C">
        <w:rPr>
          <w:rFonts w:hint="eastAsia"/>
        </w:rPr>
        <w:t>ものとする。</w:t>
      </w:r>
    </w:p>
    <w:p w14:paraId="25A7ABE1" w14:textId="77777777" w:rsidR="00F11312" w:rsidRDefault="00F11312" w:rsidP="00F11312"/>
    <w:p w14:paraId="2C79AE2E" w14:textId="77777777" w:rsidR="00F11312" w:rsidRDefault="00F11312" w:rsidP="00F11312">
      <w:r>
        <w:rPr>
          <w:rFonts w:hint="eastAsia"/>
        </w:rPr>
        <w:t>（８）力率</w:t>
      </w:r>
    </w:p>
    <w:p w14:paraId="531BF393" w14:textId="77777777" w:rsidR="00F11312" w:rsidRDefault="00F11312" w:rsidP="003A0F6C">
      <w:pPr>
        <w:ind w:leftChars="200" w:left="840" w:hangingChars="200" w:hanging="420"/>
      </w:pPr>
      <w:r>
        <w:rPr>
          <w:rFonts w:hint="eastAsia"/>
        </w:rPr>
        <w:t>①　受注者は調達期間において、その月の平均力率により、力率割引又は割増しを行うものとする。</w:t>
      </w:r>
    </w:p>
    <w:p w14:paraId="725C3893" w14:textId="77777777" w:rsidR="00F11312" w:rsidRDefault="00F11312" w:rsidP="003A0F6C">
      <w:pPr>
        <w:ind w:leftChars="200" w:left="840" w:hangingChars="200" w:hanging="420"/>
      </w:pPr>
      <w:r>
        <w:rPr>
          <w:rFonts w:hint="eastAsia"/>
        </w:rPr>
        <w:t>②　力率は、その月の午前８時から午後</w:t>
      </w:r>
      <w:r>
        <w:t>10時までの時間における平均力率とする。単位を％とし、小数点以下第１位を四捨五入する。（瞬間力率が進み力率となる場合には、その瞬間力率は１００％とする。）</w:t>
      </w:r>
    </w:p>
    <w:p w14:paraId="7FA8B936" w14:textId="5E92AC37" w:rsidR="003A0F6C" w:rsidRDefault="00C216CC" w:rsidP="00C216CC">
      <w:pPr>
        <w:ind w:firstLineChars="400" w:firstLine="840"/>
        <w:rPr>
          <w:rFonts w:hint="eastAsia"/>
        </w:rPr>
      </w:pPr>
      <w:r w:rsidRPr="004C431E">
        <w:rPr>
          <w:noProof/>
        </w:rPr>
        <w:drawing>
          <wp:anchor distT="0" distB="0" distL="114300" distR="114300" simplePos="0" relativeHeight="251659264" behindDoc="0" locked="0" layoutInCell="1" allowOverlap="1" wp14:anchorId="3C501E48" wp14:editId="4F845E98">
            <wp:simplePos x="0" y="0"/>
            <wp:positionH relativeFrom="margin">
              <wp:posOffset>586061</wp:posOffset>
            </wp:positionH>
            <wp:positionV relativeFrom="paragraph">
              <wp:posOffset>417027</wp:posOffset>
            </wp:positionV>
            <wp:extent cx="4991735" cy="666750"/>
            <wp:effectExtent l="0" t="0" r="0" b="0"/>
            <wp:wrapTopAndBottom/>
            <wp:docPr id="207760872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91735" cy="666750"/>
                    </a:xfrm>
                    <a:prstGeom prst="rect">
                      <a:avLst/>
                    </a:prstGeom>
                    <a:noFill/>
                    <a:ln>
                      <a:noFill/>
                    </a:ln>
                  </pic:spPr>
                </pic:pic>
              </a:graphicData>
            </a:graphic>
            <wp14:sizeRelH relativeFrom="page">
              <wp14:pctWidth>0</wp14:pctWidth>
            </wp14:sizeRelH>
            <wp14:sizeRelV relativeFrom="page">
              <wp14:pctHeight>0</wp14:pctHeight>
            </wp14:sizeRelV>
          </wp:anchor>
        </w:drawing>
      </w:r>
      <w:r w:rsidR="00F11312">
        <w:rPr>
          <w:rFonts w:hint="eastAsia"/>
        </w:rPr>
        <w:t>平均力率の算定式は次のとおりとする。</w:t>
      </w:r>
    </w:p>
    <w:p w14:paraId="5769D7D7" w14:textId="71D6F570" w:rsidR="00F11312" w:rsidRDefault="003A0F6C" w:rsidP="003A0F6C">
      <w:pPr>
        <w:ind w:leftChars="200" w:left="840" w:hangingChars="200" w:hanging="420"/>
      </w:pPr>
      <w:r>
        <w:rPr>
          <w:rFonts w:hint="eastAsia"/>
        </w:rPr>
        <w:t xml:space="preserve">　</w:t>
      </w:r>
      <w:r w:rsidR="00F11312">
        <w:rPr>
          <w:rFonts w:hint="eastAsia"/>
        </w:rPr>
        <w:t>③　力率割引又は力率割増しは、基本料金に以下の計算式により得られた値（以下「力率割引又は割増し値」という。）を乗じることにより行うものとする。なお、まったく電気を使用しない場合、その力率は８５％とする。</w:t>
      </w:r>
    </w:p>
    <w:p w14:paraId="128A479F" w14:textId="77777777" w:rsidR="00F11312" w:rsidRDefault="00F11312" w:rsidP="003A0F6C">
      <w:pPr>
        <w:ind w:firstLineChars="1100" w:firstLine="2310"/>
      </w:pPr>
      <w:r>
        <w:rPr>
          <w:rFonts w:hint="eastAsia"/>
        </w:rPr>
        <w:t xml:space="preserve">力率割引又は割増し値　＝　</w:t>
      </w:r>
      <w:r>
        <w:t>1.85 – 力率/100</w:t>
      </w:r>
    </w:p>
    <w:p w14:paraId="5DEA638B" w14:textId="0C3D4F77" w:rsidR="00F11312" w:rsidRDefault="00F11312" w:rsidP="003A0F6C">
      <w:pPr>
        <w:ind w:leftChars="300" w:left="840" w:hangingChars="100" w:hanging="210"/>
      </w:pPr>
      <w:r>
        <w:rPr>
          <w:rFonts w:hint="eastAsia"/>
        </w:rPr>
        <w:t>④　入札価格の算定に当たっては、力率１００％とし、基本料金に</w:t>
      </w:r>
      <w:r>
        <w:t>0.85を乗じるものとする。</w:t>
      </w:r>
    </w:p>
    <w:p w14:paraId="1F92B484" w14:textId="77777777" w:rsidR="00F11312" w:rsidRDefault="00F11312" w:rsidP="00C216CC">
      <w:r>
        <w:rPr>
          <w:rFonts w:hint="eastAsia"/>
        </w:rPr>
        <w:lastRenderedPageBreak/>
        <w:t>（</w:t>
      </w:r>
      <w:r>
        <w:t>9）燃料費調整</w:t>
      </w:r>
    </w:p>
    <w:p w14:paraId="5A23DDA1" w14:textId="78B513A9" w:rsidR="00F11312" w:rsidRDefault="00F11312" w:rsidP="009A2A0A">
      <w:pPr>
        <w:ind w:leftChars="300" w:left="840" w:hangingChars="100" w:hanging="210"/>
      </w:pPr>
      <w:r>
        <w:rPr>
          <w:rFonts w:hint="eastAsia"/>
        </w:rPr>
        <w:t>①　各月の燃料費調整単価を次のとおり算出し、燃料費調整単価を計量期間の使用電力量に乗じること（燃料費調整額）により燃料費調整を行うものとする。なお、平均燃料価格が</w:t>
      </w:r>
      <w:r>
        <w:t>47,000円を下回る場合は、燃料費調整は差し引くことになる。また、燃料費調整単価は、小数点以下第三位で四捨五入することとする。</w:t>
      </w:r>
    </w:p>
    <w:p w14:paraId="2CFA53BD" w14:textId="77777777" w:rsidR="00F11312" w:rsidRDefault="00F11312" w:rsidP="009A2A0A">
      <w:pPr>
        <w:ind w:firstLineChars="500" w:firstLine="1050"/>
      </w:pPr>
      <w:r>
        <w:rPr>
          <w:rFonts w:hint="eastAsia"/>
        </w:rPr>
        <w:t>燃料費調整単価＝（平均燃料価格－</w:t>
      </w:r>
      <w:r>
        <w:t>47,000円/kl）＊（0.105円/kWh /1,000）</w:t>
      </w:r>
    </w:p>
    <w:p w14:paraId="1A6B42DE" w14:textId="77777777" w:rsidR="00F11312" w:rsidRDefault="00F11312" w:rsidP="009A2A0A">
      <w:pPr>
        <w:ind w:firstLineChars="500" w:firstLine="1050"/>
      </w:pPr>
      <w:r>
        <w:rPr>
          <w:rFonts w:hint="eastAsia"/>
        </w:rPr>
        <w:t>平均燃料価格＝Ａ×</w:t>
      </w:r>
      <w:r>
        <w:t>0.0045＋Ｂ×0.1974＋Ｃ×1.0532（１００円未満四捨五入）</w:t>
      </w:r>
    </w:p>
    <w:p w14:paraId="1FF103E2" w14:textId="77777777" w:rsidR="00F11312" w:rsidRDefault="00F11312" w:rsidP="009A2A0A">
      <w:pPr>
        <w:ind w:firstLineChars="400" w:firstLine="840"/>
      </w:pPr>
      <w:r>
        <w:rPr>
          <w:rFonts w:hint="eastAsia"/>
        </w:rPr>
        <w:t>Ａ：各平均燃料価格算定期間における１</w:t>
      </w:r>
      <w:r>
        <w:t>kｌ当たりの平均原油価格</w:t>
      </w:r>
    </w:p>
    <w:p w14:paraId="7C2EC8A5" w14:textId="77777777" w:rsidR="00F11312" w:rsidRDefault="00F11312" w:rsidP="009A2A0A">
      <w:pPr>
        <w:ind w:firstLineChars="400" w:firstLine="840"/>
      </w:pPr>
      <w:r>
        <w:rPr>
          <w:rFonts w:hint="eastAsia"/>
        </w:rPr>
        <w:t>Ｂ：各平均燃料価格算定期間における１ｔ当たりの平均ＬＮＧ価格</w:t>
      </w:r>
    </w:p>
    <w:p w14:paraId="29D45016" w14:textId="77777777" w:rsidR="00F11312" w:rsidRDefault="00F11312" w:rsidP="009A2A0A">
      <w:pPr>
        <w:ind w:firstLineChars="400" w:firstLine="840"/>
      </w:pPr>
      <w:r>
        <w:rPr>
          <w:rFonts w:hint="eastAsia"/>
        </w:rPr>
        <w:t>Ｃ：各平均燃料価格算定期間における１ｔ当たりの平均石炭価格</w:t>
      </w:r>
    </w:p>
    <w:p w14:paraId="5111366E" w14:textId="77777777" w:rsidR="00F11312" w:rsidRDefault="00F11312" w:rsidP="00C7023B">
      <w:pPr>
        <w:ind w:leftChars="300" w:left="630"/>
      </w:pPr>
      <w:r>
        <w:rPr>
          <w:rFonts w:hint="eastAsia"/>
        </w:rPr>
        <w:t>※各平均燃料価格</w:t>
      </w:r>
      <w:r>
        <w:t>A、B及びCは需要場所を供給区域とする旧一般電気事業者の小売部門が公表している値(当該月の五月前から三月前までの期間の燃料ごとの貿易統計実績価格の平均値）を使用すること。</w:t>
      </w:r>
    </w:p>
    <w:p w14:paraId="1C61FD05" w14:textId="77777777" w:rsidR="00F11312" w:rsidRDefault="00F11312" w:rsidP="00C7023B">
      <w:pPr>
        <w:ind w:firstLineChars="300" w:firstLine="630"/>
      </w:pPr>
      <w:r>
        <w:rPr>
          <w:rFonts w:hint="eastAsia"/>
        </w:rPr>
        <w:t>②　入札価格の算定に当たっては、燃料費調整は考慮しないこと。</w:t>
      </w:r>
    </w:p>
    <w:p w14:paraId="7634613C" w14:textId="77777777" w:rsidR="00F11312" w:rsidRDefault="00F11312" w:rsidP="00F11312"/>
    <w:p w14:paraId="52833262" w14:textId="77777777" w:rsidR="00F11312" w:rsidRDefault="00F11312" w:rsidP="00F11312">
      <w:r>
        <w:rPr>
          <w:rFonts w:hint="eastAsia"/>
        </w:rPr>
        <w:t>（</w:t>
      </w:r>
      <w:r>
        <w:t>10）市場価格調整</w:t>
      </w:r>
    </w:p>
    <w:p w14:paraId="0E30AF8C" w14:textId="77777777" w:rsidR="00F11312" w:rsidRDefault="00F11312" w:rsidP="00C7023B">
      <w:pPr>
        <w:ind w:leftChars="300" w:left="840" w:hangingChars="100" w:hanging="210"/>
      </w:pPr>
      <w:r>
        <w:rPr>
          <w:rFonts w:hint="eastAsia"/>
        </w:rPr>
        <w:t>①　各月の市場価格調整単価を次のとおり算出し、市場価格調整単価を計量期間の使用電力量に乗じることにより、市場価格調整を行うものとする。また、市場価格調整単価は、小数点以下第三位で四捨五入することとする。</w:t>
      </w:r>
    </w:p>
    <w:p w14:paraId="7CCB4E72" w14:textId="589ADEC4" w:rsidR="00F11312" w:rsidRDefault="00F11312" w:rsidP="00C7023B">
      <w:pPr>
        <w:ind w:firstLineChars="700" w:firstLine="1470"/>
      </w:pPr>
      <w:r>
        <w:rPr>
          <w:rFonts w:hint="eastAsia"/>
        </w:rPr>
        <w:t>市場価格調整単価＝（平均市場価格－</w:t>
      </w:r>
      <w:r>
        <w:t>10.82）×0.288</w:t>
      </w:r>
    </w:p>
    <w:p w14:paraId="1E8D5B49" w14:textId="4860D753" w:rsidR="00F11312" w:rsidRDefault="00F11312" w:rsidP="00C7023B">
      <w:pPr>
        <w:ind w:firstLineChars="700" w:firstLine="1470"/>
      </w:pPr>
      <w:r>
        <w:rPr>
          <w:rFonts w:hint="eastAsia"/>
        </w:rPr>
        <w:t>平均市場価格＝</w:t>
      </w:r>
      <w:r>
        <w:t>D×0.7170＋E×0.2830</w:t>
      </w:r>
    </w:p>
    <w:p w14:paraId="2FF3BA57" w14:textId="59ED8302" w:rsidR="00F11312" w:rsidRDefault="00F11312" w:rsidP="00C7023B">
      <w:pPr>
        <w:ind w:left="2310" w:hangingChars="1100" w:hanging="2310"/>
      </w:pPr>
      <w:r>
        <w:rPr>
          <w:rFonts w:hint="eastAsia"/>
        </w:rPr>
        <w:t xml:space="preserve">　　</w:t>
      </w:r>
      <w:r w:rsidR="00C7023B">
        <w:rPr>
          <w:rFonts w:hint="eastAsia"/>
        </w:rPr>
        <w:t xml:space="preserve">　　　　　　　</w:t>
      </w:r>
      <w:r>
        <w:t>D ＝平均市場価格算定期間（３～５ヵ月前）におけるスポット市場価格の全日平均値</w:t>
      </w:r>
    </w:p>
    <w:p w14:paraId="344065A3" w14:textId="77777777" w:rsidR="00F11312" w:rsidRDefault="00F11312" w:rsidP="00C7023B">
      <w:pPr>
        <w:ind w:leftChars="900" w:left="2310" w:hangingChars="200" w:hanging="420"/>
      </w:pPr>
      <w:r>
        <w:t>E ＝平均市場価格算定期間（３～５ヵ月前）におけるスポット市場価格の昼間平均値</w:t>
      </w:r>
    </w:p>
    <w:p w14:paraId="2587E360" w14:textId="77777777" w:rsidR="00F11312" w:rsidRDefault="00F11312" w:rsidP="00C7023B">
      <w:pPr>
        <w:ind w:leftChars="900" w:left="1890"/>
      </w:pPr>
      <w:r>
        <w:t>D、Eについては需要場所を供給区域とする旧一般電気事業者の小売部門が公表している値を使用すること。</w:t>
      </w:r>
    </w:p>
    <w:p w14:paraId="692AA673" w14:textId="07C7B8EC" w:rsidR="00F11312" w:rsidRDefault="00F11312" w:rsidP="00F11312">
      <w:r>
        <w:rPr>
          <w:rFonts w:hint="eastAsia"/>
        </w:rPr>
        <w:t xml:space="preserve">　　</w:t>
      </w:r>
      <w:r w:rsidR="00C7023B">
        <w:rPr>
          <w:rFonts w:hint="eastAsia"/>
        </w:rPr>
        <w:t xml:space="preserve">　</w:t>
      </w:r>
      <w:r>
        <w:rPr>
          <w:rFonts w:hint="eastAsia"/>
        </w:rPr>
        <w:t>②　入札価格の算定に当たっては、市場価格調整は考慮しないこと。</w:t>
      </w:r>
    </w:p>
    <w:p w14:paraId="24407C0C" w14:textId="77777777" w:rsidR="00F11312" w:rsidRDefault="00F11312" w:rsidP="00F11312"/>
    <w:p w14:paraId="58E38BE9" w14:textId="77777777" w:rsidR="00F11312" w:rsidRDefault="00F11312" w:rsidP="00F11312">
      <w:r>
        <w:rPr>
          <w:rFonts w:hint="eastAsia"/>
        </w:rPr>
        <w:t>（</w:t>
      </w:r>
      <w:r>
        <w:t>11）再生可能エネルギー発電促進賦課金</w:t>
      </w:r>
    </w:p>
    <w:p w14:paraId="2C7B4249" w14:textId="77777777" w:rsidR="00F11312" w:rsidRDefault="00F11312" w:rsidP="00C7023B">
      <w:pPr>
        <w:ind w:leftChars="300" w:left="840" w:hangingChars="100" w:hanging="210"/>
      </w:pPr>
      <w:r>
        <w:rPr>
          <w:rFonts w:hint="eastAsia"/>
        </w:rPr>
        <w:t>①　再生可能エネルギー発電促進賦課金は、電気事業者による再生可能エネルギー電気の調達に関する特別措置法（平成</w:t>
      </w:r>
      <w:r>
        <w:t>23年法律第108号）によるものとする。</w:t>
      </w:r>
    </w:p>
    <w:p w14:paraId="0FAABFCB" w14:textId="77777777" w:rsidR="00F11312" w:rsidRDefault="00F11312" w:rsidP="00C7023B">
      <w:pPr>
        <w:ind w:leftChars="300" w:left="840" w:hangingChars="100" w:hanging="210"/>
      </w:pPr>
      <w:r>
        <w:rPr>
          <w:rFonts w:hint="eastAsia"/>
        </w:rPr>
        <w:t>②　入札価格の算定に当たっては、再生可能エネルギー発電促進賦課金は考慮しないこと。</w:t>
      </w:r>
    </w:p>
    <w:p w14:paraId="248C76FC" w14:textId="77777777" w:rsidR="00F11312" w:rsidRDefault="00F11312" w:rsidP="00F11312"/>
    <w:p w14:paraId="77BDCB7F" w14:textId="77777777" w:rsidR="00C7023B" w:rsidRDefault="00C7023B" w:rsidP="00F11312"/>
    <w:p w14:paraId="3BBD69C7" w14:textId="77777777" w:rsidR="00F11312" w:rsidRDefault="00F11312" w:rsidP="00F11312">
      <w:r>
        <w:rPr>
          <w:rFonts w:hint="eastAsia"/>
        </w:rPr>
        <w:lastRenderedPageBreak/>
        <w:t>（</w:t>
      </w:r>
      <w:r>
        <w:t>12）料金の算定</w:t>
      </w:r>
    </w:p>
    <w:p w14:paraId="6C8FD507" w14:textId="77777777" w:rsidR="00F11312" w:rsidRDefault="00F11312" w:rsidP="00A73661">
      <w:pPr>
        <w:ind w:firstLineChars="200" w:firstLine="420"/>
      </w:pPr>
      <w:r>
        <w:rPr>
          <w:rFonts w:hint="eastAsia"/>
        </w:rPr>
        <w:t>料金の算定は、計量期間の契約電力及び使用電力量に基づき、次の計算方法で行う。</w:t>
      </w:r>
    </w:p>
    <w:p w14:paraId="69B88698" w14:textId="77777777" w:rsidR="00A73661" w:rsidRDefault="00F11312" w:rsidP="00F11312">
      <w:r>
        <w:rPr>
          <w:rFonts w:hint="eastAsia"/>
        </w:rPr>
        <w:t xml:space="preserve">　　　</w:t>
      </w:r>
    </w:p>
    <w:p w14:paraId="64EC504C" w14:textId="5B370B47" w:rsidR="00F11312" w:rsidRDefault="00F11312" w:rsidP="00A73661">
      <w:pPr>
        <w:ind w:firstLineChars="400" w:firstLine="840"/>
      </w:pPr>
      <w:r>
        <w:rPr>
          <w:rFonts w:hint="eastAsia"/>
        </w:rPr>
        <w:t>電気料金＝基本料金＋電力量料金＋再生可能エネルギー発電促進賦課金</w:t>
      </w:r>
    </w:p>
    <w:p w14:paraId="58D15D08" w14:textId="67107352" w:rsidR="00F11312" w:rsidRDefault="00F11312" w:rsidP="00F11312">
      <w:r>
        <w:rPr>
          <w:rFonts w:hint="eastAsia"/>
        </w:rPr>
        <w:t xml:space="preserve">　　　</w:t>
      </w:r>
      <w:r w:rsidR="00A73661">
        <w:rPr>
          <w:rFonts w:hint="eastAsia"/>
        </w:rPr>
        <w:t xml:space="preserve">　</w:t>
      </w:r>
      <w:r>
        <w:rPr>
          <w:rFonts w:hint="eastAsia"/>
        </w:rPr>
        <w:t>基本料金＝基本料金単価×契約電力×力率割引又は割増し値</w:t>
      </w:r>
    </w:p>
    <w:p w14:paraId="72EAEB8C" w14:textId="7D250586" w:rsidR="00F11312" w:rsidRDefault="00F11312" w:rsidP="00F11312">
      <w:r>
        <w:rPr>
          <w:rFonts w:hint="eastAsia"/>
        </w:rPr>
        <w:t xml:space="preserve">　　　</w:t>
      </w:r>
      <w:r w:rsidR="00A73661">
        <w:rPr>
          <w:rFonts w:hint="eastAsia"/>
        </w:rPr>
        <w:t xml:space="preserve">　</w:t>
      </w:r>
      <w:r>
        <w:rPr>
          <w:rFonts w:hint="eastAsia"/>
        </w:rPr>
        <w:t>電力量料金＝電力量料金単価×使用電力量＋燃料費調整額＋市場価格調整額</w:t>
      </w:r>
    </w:p>
    <w:p w14:paraId="7E8FC118" w14:textId="4FBA2D6B" w:rsidR="00F11312" w:rsidRDefault="00F11312" w:rsidP="00EB71CA">
      <w:pPr>
        <w:ind w:left="1260" w:hangingChars="600" w:hanging="1260"/>
      </w:pPr>
      <w:r>
        <w:rPr>
          <w:rFonts w:hint="eastAsia"/>
        </w:rPr>
        <w:t xml:space="preserve">　　　</w:t>
      </w:r>
      <w:r w:rsidR="00EB71CA">
        <w:rPr>
          <w:rFonts w:hint="eastAsia"/>
        </w:rPr>
        <w:t xml:space="preserve">　　</w:t>
      </w:r>
      <w:r>
        <w:rPr>
          <w:rFonts w:hint="eastAsia"/>
        </w:rPr>
        <w:t>※燃料費調整単価、市場価格調整単価及び再生可能エネルギー発電促進賦課金単価については、計量期間の最終日の属する月の値を適用すること。</w:t>
      </w:r>
    </w:p>
    <w:p w14:paraId="6BEFAB34" w14:textId="77777777" w:rsidR="00F11312" w:rsidRDefault="00F11312" w:rsidP="00F11312"/>
    <w:p w14:paraId="6487E2E6" w14:textId="77777777" w:rsidR="00F11312" w:rsidRDefault="00F11312" w:rsidP="00F11312">
      <w:r>
        <w:rPr>
          <w:rFonts w:hint="eastAsia"/>
        </w:rPr>
        <w:t>（</w:t>
      </w:r>
      <w:r>
        <w:t>13）請求書について</w:t>
      </w:r>
    </w:p>
    <w:p w14:paraId="4C1878E1" w14:textId="77777777" w:rsidR="00F11312" w:rsidRDefault="00F11312" w:rsidP="00F11312">
      <w:r>
        <w:rPr>
          <w:rFonts w:hint="eastAsia"/>
        </w:rPr>
        <w:t xml:space="preserve">　　①　請求書には、契約電力、使用電力量、電気料金を記載することとする。</w:t>
      </w:r>
    </w:p>
    <w:p w14:paraId="61E23C15" w14:textId="77777777" w:rsidR="00F11312" w:rsidRDefault="00F11312" w:rsidP="00EB71CA">
      <w:pPr>
        <w:ind w:leftChars="200" w:left="840" w:hangingChars="200" w:hanging="420"/>
      </w:pPr>
      <w:r>
        <w:rPr>
          <w:rFonts w:hint="eastAsia"/>
        </w:rPr>
        <w:t>②　請求書の送付は、発注者が落札後に提示する送付先への郵送又は電子メールによる送付、Ｗｅｂからのダウンロードによる方法のいずれかによるものとする。</w:t>
      </w:r>
    </w:p>
    <w:p w14:paraId="3F27E47F" w14:textId="5BAA1D08" w:rsidR="00F11312" w:rsidRDefault="00F11312" w:rsidP="00EB71CA">
      <w:pPr>
        <w:ind w:left="840" w:hangingChars="400" w:hanging="840"/>
      </w:pPr>
      <w:r>
        <w:rPr>
          <w:rFonts w:hint="eastAsia"/>
        </w:rPr>
        <w:t xml:space="preserve">　　③　受注者は、発注者が必要とする電力使用量等の情報について、Ｗｅｂからのダウンロード等の方法により、常時提供すること。</w:t>
      </w:r>
    </w:p>
    <w:p w14:paraId="7875A111" w14:textId="77777777" w:rsidR="00F11312" w:rsidRPr="00EB71CA" w:rsidRDefault="00F11312" w:rsidP="00F11312"/>
    <w:p w14:paraId="53B10D93" w14:textId="77777777" w:rsidR="00F11312" w:rsidRDefault="00F11312" w:rsidP="00F11312">
      <w:r>
        <w:rPr>
          <w:rFonts w:hint="eastAsia"/>
        </w:rPr>
        <w:t>（</w:t>
      </w:r>
      <w:r>
        <w:t>14）支払方法</w:t>
      </w:r>
    </w:p>
    <w:p w14:paraId="4A6298BE" w14:textId="77777777" w:rsidR="00F11312" w:rsidRDefault="00F11312" w:rsidP="00F11312">
      <w:r>
        <w:rPr>
          <w:rFonts w:hint="eastAsia"/>
        </w:rPr>
        <w:t xml:space="preserve">　　　支払方法は銀行口座振り込み（振込用紙による支払いも可とする）とする。</w:t>
      </w:r>
    </w:p>
    <w:p w14:paraId="438A90C8" w14:textId="77777777" w:rsidR="00F11312" w:rsidRDefault="00F11312" w:rsidP="00F11312"/>
    <w:p w14:paraId="35E127BE" w14:textId="77777777" w:rsidR="00F11312" w:rsidRDefault="00F11312" w:rsidP="00F11312">
      <w:r>
        <w:rPr>
          <w:rFonts w:hint="eastAsia"/>
        </w:rPr>
        <w:t>（</w:t>
      </w:r>
      <w:r>
        <w:t>15）提出書類</w:t>
      </w:r>
    </w:p>
    <w:p w14:paraId="2AC3B39F" w14:textId="6523A299" w:rsidR="00045C42" w:rsidRDefault="00F11312" w:rsidP="003D7043">
      <w:pPr>
        <w:ind w:left="840" w:hangingChars="400" w:hanging="840"/>
      </w:pPr>
      <w:r>
        <w:rPr>
          <w:rFonts w:hint="eastAsia"/>
        </w:rPr>
        <w:t xml:space="preserve">　　①　契約締結後遅滞なく、</w:t>
      </w:r>
      <w:r>
        <w:t>15-３「非化石電力の供給計画書（以下「計画書」という。）」の1供給元電源情報（１）計画、2証書による環境価値の移転量（１）計画</w:t>
      </w:r>
      <w:r w:rsidR="003D7043">
        <w:rPr>
          <w:rFonts w:hint="eastAsia"/>
        </w:rPr>
        <w:t>について、調達（使用）施設ごとに</w:t>
      </w:r>
      <w:r>
        <w:t>記載の上提出し、発注者の承認を得ること。</w:t>
      </w:r>
    </w:p>
    <w:p w14:paraId="391259F0" w14:textId="77777777" w:rsidR="00F11312" w:rsidRDefault="00F11312" w:rsidP="00EB71CA">
      <w:pPr>
        <w:ind w:left="840" w:hangingChars="400" w:hanging="840"/>
      </w:pPr>
      <w:r>
        <w:rPr>
          <w:rFonts w:hint="eastAsia"/>
        </w:rPr>
        <w:t xml:space="preserve">　　②　計量期間ごとに計画書に係る実績について、</w:t>
      </w:r>
      <w:r>
        <w:t>15-3の１（２）イ.供給電力量及びウ.割当電力量に記載の上、提出すること。</w:t>
      </w:r>
    </w:p>
    <w:p w14:paraId="10110E47" w14:textId="308D43C2" w:rsidR="00F11312" w:rsidRDefault="00F11312" w:rsidP="00761ECA">
      <w:pPr>
        <w:ind w:leftChars="200" w:left="840" w:hangingChars="200" w:hanging="420"/>
      </w:pPr>
      <w:r>
        <w:rPr>
          <w:rFonts w:hint="eastAsia"/>
        </w:rPr>
        <w:t xml:space="preserve">③　</w:t>
      </w:r>
      <w:r w:rsidR="00A90DC3">
        <w:rPr>
          <w:rFonts w:hint="eastAsia"/>
        </w:rPr>
        <w:t>期間中の</w:t>
      </w:r>
      <w:r>
        <w:rPr>
          <w:rFonts w:hint="eastAsia"/>
        </w:rPr>
        <w:t>非化石証書等による環境価値の移転が確認できる資料について、</w:t>
      </w:r>
      <w:r>
        <w:t>15-3の２（２）イ及びウに移転電力量を記載の上、各半期末月（</w:t>
      </w:r>
      <w:r w:rsidR="00397EDC">
        <w:rPr>
          <w:rFonts w:hint="eastAsia"/>
        </w:rPr>
        <w:t>５</w:t>
      </w:r>
      <w:r>
        <w:t>月及び</w:t>
      </w:r>
      <w:r w:rsidR="003823B0">
        <w:rPr>
          <w:rFonts w:hint="eastAsia"/>
        </w:rPr>
        <w:t>10</w:t>
      </w:r>
      <w:r>
        <w:t>月）分の電力料金の請求後３ヶ月以内に提出すること。なお、</w:t>
      </w:r>
      <w:r w:rsidR="003823B0">
        <w:rPr>
          <w:rFonts w:hint="eastAsia"/>
        </w:rPr>
        <w:t>10</w:t>
      </w:r>
      <w:r>
        <w:t>月分の請求については、15-3の提出により環境価値の移転について確認できた日に請求があったものとする。</w:t>
      </w:r>
    </w:p>
    <w:p w14:paraId="795D7535" w14:textId="77777777" w:rsidR="00F11312" w:rsidRDefault="00F11312" w:rsidP="00761ECA">
      <w:pPr>
        <w:ind w:firstLineChars="200" w:firstLine="420"/>
      </w:pPr>
      <w:r>
        <w:rPr>
          <w:rFonts w:hint="eastAsia"/>
        </w:rPr>
        <w:t>④　別紙料金表の各料金一覧＜常時電力＞の各項目を記載の上、提出すること。</w:t>
      </w:r>
    </w:p>
    <w:p w14:paraId="1799F92A" w14:textId="4DA7A1DE" w:rsidR="003823B0" w:rsidRDefault="003823B0" w:rsidP="00045C42"/>
    <w:p w14:paraId="227E2176" w14:textId="77777777" w:rsidR="00F11312" w:rsidRDefault="00F11312" w:rsidP="00F11312">
      <w:r>
        <w:rPr>
          <w:rFonts w:hint="eastAsia"/>
        </w:rPr>
        <w:t>（</w:t>
      </w:r>
      <w:r>
        <w:t>16）部分調達</w:t>
      </w:r>
    </w:p>
    <w:p w14:paraId="5BD67B71" w14:textId="1B4D22FF" w:rsidR="00F11312" w:rsidRDefault="00F11312" w:rsidP="00477BEE">
      <w:pPr>
        <w:ind w:left="420" w:hangingChars="200" w:hanging="420"/>
      </w:pPr>
      <w:r>
        <w:rPr>
          <w:rFonts w:hint="eastAsia"/>
        </w:rPr>
        <w:t xml:space="preserve">　　①について、協会が求める電力構成を達成するために協会が指定した電力の部分調達を要請した際は調達に努めること。なお、単価料金にて協会が求める電力の調達が出来ない場合は別途協議を実施すること。</w:t>
      </w:r>
    </w:p>
    <w:p w14:paraId="03C1016D" w14:textId="77777777" w:rsidR="007D2B79" w:rsidRDefault="007D2B79" w:rsidP="00F11312"/>
    <w:p w14:paraId="457D9239" w14:textId="70735F93" w:rsidR="00AE415A" w:rsidRDefault="00F11312" w:rsidP="00805D1D">
      <w:pPr>
        <w:jc w:val="right"/>
        <w:rPr>
          <w:rFonts w:hint="eastAsia"/>
        </w:rPr>
      </w:pPr>
      <w:r w:rsidRPr="00805D1D">
        <w:rPr>
          <w:rFonts w:hint="eastAsia"/>
          <w:bdr w:val="single" w:sz="4" w:space="0" w:color="auto"/>
        </w:rPr>
        <w:lastRenderedPageBreak/>
        <w:t>別紙</w:t>
      </w:r>
    </w:p>
    <w:p w14:paraId="455751C3" w14:textId="77777777" w:rsidR="00F11312" w:rsidRDefault="00F11312" w:rsidP="00F11312">
      <w:r>
        <w:rPr>
          <w:rFonts w:hint="eastAsia"/>
        </w:rPr>
        <w:t>料金表</w:t>
      </w:r>
    </w:p>
    <w:tbl>
      <w:tblPr>
        <w:tblW w:w="949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AEEF3"/>
        <w:tblLayout w:type="fixed"/>
        <w:tblCellMar>
          <w:left w:w="99" w:type="dxa"/>
          <w:right w:w="99" w:type="dxa"/>
        </w:tblCellMar>
        <w:tblLook w:val="0000" w:firstRow="0" w:lastRow="0" w:firstColumn="0" w:lastColumn="0" w:noHBand="0" w:noVBand="0"/>
      </w:tblPr>
      <w:tblGrid>
        <w:gridCol w:w="1133"/>
        <w:gridCol w:w="993"/>
        <w:gridCol w:w="1134"/>
        <w:gridCol w:w="1845"/>
        <w:gridCol w:w="4393"/>
      </w:tblGrid>
      <w:tr w:rsidR="00487CFE" w:rsidRPr="00977BA2" w14:paraId="4D08B382" w14:textId="77777777" w:rsidTr="00AB18A2">
        <w:trPr>
          <w:cantSplit/>
          <w:trHeight w:val="454"/>
        </w:trPr>
        <w:tc>
          <w:tcPr>
            <w:tcW w:w="3260" w:type="dxa"/>
            <w:gridSpan w:val="3"/>
            <w:tcBorders>
              <w:top w:val="single" w:sz="12" w:space="0" w:color="auto"/>
              <w:left w:val="single" w:sz="12" w:space="0" w:color="auto"/>
            </w:tcBorders>
            <w:shd w:val="clear" w:color="auto" w:fill="DAEEF3"/>
            <w:vAlign w:val="center"/>
          </w:tcPr>
          <w:p w14:paraId="6F65C9DD" w14:textId="77777777" w:rsidR="00487CFE" w:rsidRPr="00977BA2" w:rsidRDefault="00487CFE" w:rsidP="00AB18A2">
            <w:pPr>
              <w:jc w:val="center"/>
              <w:rPr>
                <w:rFonts w:hAnsi="ＭＳ 明朝"/>
                <w:spacing w:val="6"/>
                <w:sz w:val="20"/>
              </w:rPr>
            </w:pPr>
            <w:r w:rsidRPr="00977BA2">
              <w:rPr>
                <w:rFonts w:hAnsi="ＭＳ 明朝" w:hint="eastAsia"/>
                <w:spacing w:val="6"/>
                <w:sz w:val="20"/>
              </w:rPr>
              <w:t>料金</w:t>
            </w:r>
          </w:p>
        </w:tc>
        <w:tc>
          <w:tcPr>
            <w:tcW w:w="1845" w:type="dxa"/>
            <w:tcBorders>
              <w:top w:val="single" w:sz="12" w:space="0" w:color="auto"/>
            </w:tcBorders>
            <w:shd w:val="clear" w:color="auto" w:fill="DAEEF3"/>
            <w:vAlign w:val="center"/>
          </w:tcPr>
          <w:p w14:paraId="2EFE181A" w14:textId="77777777" w:rsidR="00487CFE" w:rsidRPr="00977BA2" w:rsidRDefault="00487CFE" w:rsidP="00AB18A2">
            <w:pPr>
              <w:jc w:val="center"/>
              <w:rPr>
                <w:rFonts w:hAnsi="ＭＳ 明朝"/>
                <w:spacing w:val="6"/>
                <w:sz w:val="20"/>
              </w:rPr>
            </w:pPr>
            <w:r w:rsidRPr="00977BA2">
              <w:rPr>
                <w:rFonts w:hAnsi="ＭＳ 明朝" w:hint="eastAsia"/>
                <w:spacing w:val="6"/>
                <w:sz w:val="20"/>
              </w:rPr>
              <w:t>単価</w:t>
            </w:r>
          </w:p>
        </w:tc>
        <w:tc>
          <w:tcPr>
            <w:tcW w:w="4393" w:type="dxa"/>
            <w:tcBorders>
              <w:top w:val="single" w:sz="12" w:space="0" w:color="auto"/>
              <w:right w:val="single" w:sz="12" w:space="0" w:color="auto"/>
            </w:tcBorders>
            <w:shd w:val="clear" w:color="auto" w:fill="DAEEF3"/>
            <w:vAlign w:val="center"/>
          </w:tcPr>
          <w:p w14:paraId="64EF57D0" w14:textId="77777777" w:rsidR="00487CFE" w:rsidRPr="00977BA2" w:rsidRDefault="00487CFE" w:rsidP="00AB18A2">
            <w:pPr>
              <w:jc w:val="center"/>
              <w:rPr>
                <w:rFonts w:hAnsi="ＭＳ 明朝"/>
                <w:spacing w:val="6"/>
                <w:sz w:val="20"/>
              </w:rPr>
            </w:pPr>
            <w:r w:rsidRPr="00977BA2">
              <w:rPr>
                <w:rFonts w:hAnsi="ＭＳ 明朝" w:hint="eastAsia"/>
                <w:spacing w:val="6"/>
                <w:sz w:val="20"/>
              </w:rPr>
              <w:t>料金算式</w:t>
            </w:r>
          </w:p>
        </w:tc>
      </w:tr>
      <w:tr w:rsidR="00487CFE" w:rsidRPr="00977BA2" w14:paraId="4C453E1E" w14:textId="77777777" w:rsidTr="00AB18A2">
        <w:trPr>
          <w:cantSplit/>
          <w:trHeight w:val="1020"/>
        </w:trPr>
        <w:tc>
          <w:tcPr>
            <w:tcW w:w="1133" w:type="dxa"/>
            <w:vMerge w:val="restart"/>
            <w:tcBorders>
              <w:left w:val="single" w:sz="12" w:space="0" w:color="auto"/>
            </w:tcBorders>
            <w:shd w:val="clear" w:color="auto" w:fill="DAEEF3"/>
            <w:vAlign w:val="center"/>
          </w:tcPr>
          <w:p w14:paraId="61DB601C" w14:textId="77777777" w:rsidR="00487CFE" w:rsidRPr="00977BA2" w:rsidRDefault="00487CFE" w:rsidP="00AB18A2">
            <w:pPr>
              <w:jc w:val="center"/>
              <w:rPr>
                <w:rFonts w:hAnsi="ＭＳ 明朝"/>
                <w:spacing w:val="6"/>
                <w:sz w:val="20"/>
              </w:rPr>
            </w:pPr>
            <w:r w:rsidRPr="00977BA2">
              <w:rPr>
                <w:rFonts w:hAnsi="ＭＳ 明朝" w:hint="eastAsia"/>
                <w:spacing w:val="6"/>
                <w:sz w:val="20"/>
              </w:rPr>
              <w:t>常時電力</w:t>
            </w:r>
          </w:p>
        </w:tc>
        <w:tc>
          <w:tcPr>
            <w:tcW w:w="2127" w:type="dxa"/>
            <w:gridSpan w:val="2"/>
            <w:vMerge w:val="restart"/>
            <w:shd w:val="clear" w:color="auto" w:fill="DAEEF3"/>
            <w:vAlign w:val="center"/>
          </w:tcPr>
          <w:p w14:paraId="380302DD" w14:textId="77777777" w:rsidR="00487CFE" w:rsidRPr="00977BA2" w:rsidRDefault="00487CFE" w:rsidP="00AB18A2">
            <w:pPr>
              <w:jc w:val="center"/>
              <w:rPr>
                <w:rFonts w:hAnsi="ＭＳ 明朝"/>
                <w:spacing w:val="6"/>
                <w:sz w:val="20"/>
              </w:rPr>
            </w:pPr>
            <w:r w:rsidRPr="00977BA2">
              <w:rPr>
                <w:rFonts w:hAnsi="ＭＳ 明朝" w:hint="eastAsia"/>
                <w:spacing w:val="6"/>
                <w:sz w:val="20"/>
              </w:rPr>
              <w:t>基本料金</w:t>
            </w:r>
          </w:p>
        </w:tc>
        <w:tc>
          <w:tcPr>
            <w:tcW w:w="1845" w:type="dxa"/>
            <w:vMerge w:val="restart"/>
            <w:shd w:val="clear" w:color="auto" w:fill="DAEEF3"/>
            <w:vAlign w:val="center"/>
          </w:tcPr>
          <w:p w14:paraId="6691B951" w14:textId="77777777" w:rsidR="00487CFE" w:rsidRPr="00977BA2" w:rsidRDefault="00487CFE" w:rsidP="00AB18A2">
            <w:pPr>
              <w:ind w:rightChars="25" w:right="53"/>
              <w:jc w:val="right"/>
              <w:rPr>
                <w:rFonts w:hAnsi="ＭＳ 明朝"/>
                <w:spacing w:val="6"/>
                <w:sz w:val="20"/>
              </w:rPr>
            </w:pPr>
            <w:r w:rsidRPr="00977BA2">
              <w:rPr>
                <w:rFonts w:hAnsi="ＭＳ 明朝" w:hint="eastAsia"/>
                <w:spacing w:val="6"/>
                <w:sz w:val="20"/>
              </w:rPr>
              <w:t>金 円/kW/月</w:t>
            </w:r>
          </w:p>
        </w:tc>
        <w:tc>
          <w:tcPr>
            <w:tcW w:w="4393" w:type="dxa"/>
            <w:tcBorders>
              <w:right w:val="single" w:sz="12" w:space="0" w:color="auto"/>
            </w:tcBorders>
            <w:shd w:val="clear" w:color="auto" w:fill="DAEEF3"/>
            <w:vAlign w:val="center"/>
          </w:tcPr>
          <w:p w14:paraId="7F7F3AE1" w14:textId="77777777" w:rsidR="00487CFE" w:rsidRPr="00977BA2" w:rsidRDefault="00487CFE" w:rsidP="00AB18A2">
            <w:pPr>
              <w:ind w:leftChars="50" w:left="105"/>
              <w:rPr>
                <w:rFonts w:hAnsi="ＭＳ 明朝"/>
                <w:spacing w:val="6"/>
                <w:sz w:val="20"/>
              </w:rPr>
            </w:pPr>
            <w:r w:rsidRPr="00977BA2">
              <w:rPr>
                <w:rFonts w:hAnsi="ＭＳ 明朝" w:hint="eastAsia"/>
                <w:spacing w:val="6"/>
                <w:sz w:val="20"/>
              </w:rPr>
              <w:t>電力を使用した場合</w:t>
            </w:r>
          </w:p>
          <w:p w14:paraId="4F02BD80" w14:textId="77777777" w:rsidR="00487CFE" w:rsidRPr="00977BA2" w:rsidRDefault="00487CFE" w:rsidP="00AB18A2">
            <w:pPr>
              <w:jc w:val="center"/>
              <w:rPr>
                <w:rFonts w:hAnsi="ＭＳ 明朝"/>
                <w:spacing w:val="6"/>
                <w:sz w:val="20"/>
              </w:rPr>
            </w:pPr>
            <w:r w:rsidRPr="00977BA2">
              <w:rPr>
                <w:rFonts w:hAnsi="ＭＳ 明朝" w:hint="eastAsia"/>
                <w:spacing w:val="6"/>
                <w:sz w:val="20"/>
              </w:rPr>
              <w:t>(契約電力)×(基本料金単価)</w:t>
            </w:r>
          </w:p>
          <w:p w14:paraId="372CC9C4" w14:textId="77777777" w:rsidR="00487CFE" w:rsidRPr="00977BA2" w:rsidRDefault="00487CFE" w:rsidP="00AB18A2">
            <w:pPr>
              <w:ind w:rightChars="50" w:right="105"/>
              <w:jc w:val="right"/>
              <w:rPr>
                <w:rFonts w:hAnsi="ＭＳ 明朝"/>
                <w:spacing w:val="6"/>
                <w:sz w:val="20"/>
              </w:rPr>
            </w:pPr>
            <w:r w:rsidRPr="00977BA2">
              <w:rPr>
                <w:rFonts w:hAnsi="ＭＳ 明朝" w:hint="eastAsia"/>
                <w:spacing w:val="6"/>
                <w:sz w:val="20"/>
              </w:rPr>
              <w:t>×(1.85 － 力率/100)</w:t>
            </w:r>
          </w:p>
        </w:tc>
      </w:tr>
      <w:tr w:rsidR="00487CFE" w:rsidRPr="00977BA2" w14:paraId="5BCAC779" w14:textId="77777777" w:rsidTr="00AB18A2">
        <w:trPr>
          <w:cantSplit/>
          <w:trHeight w:val="737"/>
        </w:trPr>
        <w:tc>
          <w:tcPr>
            <w:tcW w:w="1133" w:type="dxa"/>
            <w:vMerge/>
            <w:tcBorders>
              <w:left w:val="single" w:sz="12" w:space="0" w:color="auto"/>
            </w:tcBorders>
            <w:shd w:val="clear" w:color="auto" w:fill="DAEEF3"/>
            <w:vAlign w:val="center"/>
          </w:tcPr>
          <w:p w14:paraId="176CDD8B" w14:textId="77777777" w:rsidR="00487CFE" w:rsidRPr="00977BA2" w:rsidRDefault="00487CFE" w:rsidP="00AB18A2">
            <w:pPr>
              <w:jc w:val="center"/>
              <w:rPr>
                <w:rFonts w:hAnsi="ＭＳ 明朝"/>
                <w:spacing w:val="6"/>
                <w:sz w:val="20"/>
              </w:rPr>
            </w:pPr>
          </w:p>
        </w:tc>
        <w:tc>
          <w:tcPr>
            <w:tcW w:w="2127" w:type="dxa"/>
            <w:gridSpan w:val="2"/>
            <w:vMerge/>
            <w:shd w:val="clear" w:color="auto" w:fill="DAEEF3"/>
            <w:vAlign w:val="center"/>
          </w:tcPr>
          <w:p w14:paraId="467BCC67" w14:textId="77777777" w:rsidR="00487CFE" w:rsidRPr="00977BA2" w:rsidRDefault="00487CFE" w:rsidP="00AB18A2">
            <w:pPr>
              <w:jc w:val="center"/>
              <w:rPr>
                <w:rFonts w:hAnsi="ＭＳ 明朝"/>
                <w:spacing w:val="6"/>
                <w:sz w:val="20"/>
              </w:rPr>
            </w:pPr>
          </w:p>
        </w:tc>
        <w:tc>
          <w:tcPr>
            <w:tcW w:w="1845" w:type="dxa"/>
            <w:vMerge/>
            <w:shd w:val="clear" w:color="auto" w:fill="DAEEF3"/>
            <w:vAlign w:val="center"/>
          </w:tcPr>
          <w:p w14:paraId="165D5A05" w14:textId="77777777" w:rsidR="00487CFE" w:rsidRPr="00977BA2" w:rsidRDefault="00487CFE" w:rsidP="00AB18A2">
            <w:pPr>
              <w:jc w:val="center"/>
              <w:rPr>
                <w:rFonts w:hAnsi="ＭＳ 明朝"/>
                <w:spacing w:val="6"/>
                <w:sz w:val="20"/>
              </w:rPr>
            </w:pPr>
          </w:p>
        </w:tc>
        <w:tc>
          <w:tcPr>
            <w:tcW w:w="4393" w:type="dxa"/>
            <w:tcBorders>
              <w:right w:val="single" w:sz="12" w:space="0" w:color="auto"/>
            </w:tcBorders>
            <w:shd w:val="clear" w:color="auto" w:fill="DAEEF3"/>
            <w:vAlign w:val="center"/>
          </w:tcPr>
          <w:p w14:paraId="16533A0D" w14:textId="77777777" w:rsidR="00487CFE" w:rsidRPr="00977BA2" w:rsidRDefault="00487CFE" w:rsidP="00AB18A2">
            <w:pPr>
              <w:ind w:leftChars="50" w:left="105"/>
              <w:rPr>
                <w:rFonts w:hAnsi="ＭＳ 明朝"/>
                <w:spacing w:val="6"/>
                <w:sz w:val="20"/>
              </w:rPr>
            </w:pPr>
            <w:r w:rsidRPr="00977BA2">
              <w:rPr>
                <w:rFonts w:hAnsi="ＭＳ 明朝" w:hint="eastAsia"/>
                <w:spacing w:val="6"/>
                <w:sz w:val="20"/>
              </w:rPr>
              <w:t>まったく電力を使用しない場合</w:t>
            </w:r>
          </w:p>
          <w:p w14:paraId="11E6BC19" w14:textId="77777777" w:rsidR="00487CFE" w:rsidRPr="00977BA2" w:rsidRDefault="00487CFE" w:rsidP="00AB18A2">
            <w:pPr>
              <w:jc w:val="center"/>
              <w:rPr>
                <w:rFonts w:hAnsi="ＭＳ 明朝"/>
                <w:spacing w:val="6"/>
                <w:sz w:val="20"/>
              </w:rPr>
            </w:pPr>
            <w:r w:rsidRPr="00977BA2">
              <w:rPr>
                <w:rFonts w:hAnsi="ＭＳ 明朝" w:hint="eastAsia"/>
                <w:spacing w:val="6"/>
                <w:sz w:val="20"/>
              </w:rPr>
              <w:t>0.5×(契約電力)×(基本料金単価)</w:t>
            </w:r>
          </w:p>
        </w:tc>
      </w:tr>
      <w:tr w:rsidR="00487CFE" w:rsidRPr="00977BA2" w14:paraId="7ED35512" w14:textId="77777777" w:rsidTr="00AB18A2">
        <w:trPr>
          <w:cantSplit/>
          <w:trHeight w:val="737"/>
        </w:trPr>
        <w:tc>
          <w:tcPr>
            <w:tcW w:w="1133" w:type="dxa"/>
            <w:vMerge/>
            <w:tcBorders>
              <w:left w:val="single" w:sz="12" w:space="0" w:color="auto"/>
            </w:tcBorders>
            <w:shd w:val="clear" w:color="auto" w:fill="DAEEF3"/>
            <w:vAlign w:val="center"/>
          </w:tcPr>
          <w:p w14:paraId="0D53563C" w14:textId="77777777" w:rsidR="00487CFE" w:rsidRPr="00977BA2" w:rsidRDefault="00487CFE" w:rsidP="00AB18A2">
            <w:pPr>
              <w:jc w:val="center"/>
              <w:rPr>
                <w:rFonts w:hAnsi="ＭＳ 明朝"/>
                <w:spacing w:val="6"/>
                <w:sz w:val="20"/>
              </w:rPr>
            </w:pPr>
          </w:p>
        </w:tc>
        <w:tc>
          <w:tcPr>
            <w:tcW w:w="993" w:type="dxa"/>
            <w:vMerge w:val="restart"/>
            <w:shd w:val="clear" w:color="auto" w:fill="DAEEF3"/>
            <w:vAlign w:val="center"/>
          </w:tcPr>
          <w:p w14:paraId="511FF724" w14:textId="77777777" w:rsidR="00487CFE" w:rsidRPr="00977BA2" w:rsidRDefault="00487CFE" w:rsidP="00AB18A2">
            <w:pPr>
              <w:jc w:val="center"/>
              <w:rPr>
                <w:rFonts w:hAnsi="ＭＳ 明朝"/>
                <w:spacing w:val="6"/>
                <w:sz w:val="20"/>
              </w:rPr>
            </w:pPr>
            <w:r w:rsidRPr="00977BA2">
              <w:rPr>
                <w:rFonts w:hAnsi="ＭＳ 明朝" w:hint="eastAsia"/>
                <w:spacing w:val="6"/>
                <w:sz w:val="20"/>
              </w:rPr>
              <w:t>電力量</w:t>
            </w:r>
          </w:p>
          <w:p w14:paraId="5258F486" w14:textId="77777777" w:rsidR="00487CFE" w:rsidRPr="00977BA2" w:rsidRDefault="00487CFE" w:rsidP="00AB18A2">
            <w:pPr>
              <w:jc w:val="center"/>
              <w:rPr>
                <w:rFonts w:hAnsi="ＭＳ 明朝"/>
                <w:spacing w:val="6"/>
                <w:sz w:val="20"/>
              </w:rPr>
            </w:pPr>
            <w:r w:rsidRPr="00977BA2">
              <w:rPr>
                <w:rFonts w:hAnsi="ＭＳ 明朝" w:hint="eastAsia"/>
                <w:spacing w:val="6"/>
                <w:sz w:val="20"/>
              </w:rPr>
              <w:t>料金</w:t>
            </w:r>
          </w:p>
        </w:tc>
        <w:tc>
          <w:tcPr>
            <w:tcW w:w="1134" w:type="dxa"/>
            <w:shd w:val="clear" w:color="auto" w:fill="DAEEF3"/>
            <w:vAlign w:val="center"/>
          </w:tcPr>
          <w:p w14:paraId="39A9875B" w14:textId="77777777" w:rsidR="00487CFE" w:rsidRPr="00977BA2" w:rsidRDefault="00487CFE" w:rsidP="00AB18A2">
            <w:pPr>
              <w:jc w:val="center"/>
              <w:rPr>
                <w:rFonts w:hAnsi="ＭＳ 明朝"/>
                <w:spacing w:val="6"/>
                <w:sz w:val="20"/>
              </w:rPr>
            </w:pPr>
            <w:r w:rsidRPr="00977BA2">
              <w:rPr>
                <w:rFonts w:hAnsi="ＭＳ 明朝" w:hint="eastAsia"/>
                <w:spacing w:val="6"/>
                <w:sz w:val="20"/>
              </w:rPr>
              <w:t>夏季</w:t>
            </w:r>
          </w:p>
          <w:p w14:paraId="37BA7D42" w14:textId="77777777" w:rsidR="00487CFE" w:rsidRPr="00977BA2" w:rsidRDefault="00487CFE" w:rsidP="00AB18A2">
            <w:pPr>
              <w:jc w:val="center"/>
              <w:rPr>
                <w:rFonts w:hAnsi="ＭＳ 明朝"/>
                <w:spacing w:val="6"/>
                <w:sz w:val="20"/>
              </w:rPr>
            </w:pPr>
            <w:r w:rsidRPr="00977BA2">
              <w:rPr>
                <w:rFonts w:hAnsi="ＭＳ 明朝" w:hint="eastAsia"/>
                <w:spacing w:val="6"/>
                <w:sz w:val="20"/>
              </w:rPr>
              <w:t>※１</w:t>
            </w:r>
          </w:p>
        </w:tc>
        <w:tc>
          <w:tcPr>
            <w:tcW w:w="1845" w:type="dxa"/>
            <w:shd w:val="clear" w:color="auto" w:fill="DAEEF3"/>
            <w:vAlign w:val="center"/>
          </w:tcPr>
          <w:p w14:paraId="08642698" w14:textId="77777777" w:rsidR="00487CFE" w:rsidRPr="00977BA2" w:rsidRDefault="00487CFE" w:rsidP="00AB18A2">
            <w:pPr>
              <w:ind w:rightChars="125" w:right="263"/>
              <w:jc w:val="right"/>
              <w:rPr>
                <w:rFonts w:hAnsi="ＭＳ 明朝"/>
                <w:spacing w:val="6"/>
                <w:sz w:val="20"/>
              </w:rPr>
            </w:pPr>
            <w:r w:rsidRPr="00977BA2">
              <w:rPr>
                <w:rFonts w:hAnsi="ＭＳ 明朝" w:hint="eastAsia"/>
                <w:spacing w:val="6"/>
                <w:sz w:val="20"/>
              </w:rPr>
              <w:t>金</w:t>
            </w:r>
            <w:r w:rsidRPr="00977BA2">
              <w:rPr>
                <w:rFonts w:hAnsi="ＭＳ 明朝"/>
                <w:spacing w:val="6"/>
                <w:sz w:val="20"/>
              </w:rPr>
              <w:t xml:space="preserve"> </w:t>
            </w:r>
            <w:r w:rsidRPr="00977BA2">
              <w:rPr>
                <w:rFonts w:hAnsi="ＭＳ 明朝" w:hint="eastAsia"/>
                <w:spacing w:val="6"/>
                <w:sz w:val="20"/>
              </w:rPr>
              <w:t>円/kWh</w:t>
            </w:r>
          </w:p>
        </w:tc>
        <w:tc>
          <w:tcPr>
            <w:tcW w:w="4393" w:type="dxa"/>
            <w:vMerge w:val="restart"/>
            <w:tcBorders>
              <w:right w:val="single" w:sz="12" w:space="0" w:color="auto"/>
            </w:tcBorders>
            <w:shd w:val="clear" w:color="auto" w:fill="DAEEF3"/>
            <w:vAlign w:val="center"/>
          </w:tcPr>
          <w:p w14:paraId="052951FD" w14:textId="77777777" w:rsidR="00487CFE" w:rsidRPr="00977BA2" w:rsidRDefault="00487CFE" w:rsidP="00AB18A2">
            <w:pPr>
              <w:jc w:val="center"/>
              <w:rPr>
                <w:rFonts w:hAnsi="ＭＳ 明朝"/>
                <w:spacing w:val="6"/>
                <w:sz w:val="20"/>
              </w:rPr>
            </w:pPr>
            <w:r w:rsidRPr="00977BA2">
              <w:rPr>
                <w:rFonts w:hAnsi="ＭＳ 明朝" w:hint="eastAsia"/>
                <w:spacing w:val="6"/>
                <w:sz w:val="20"/>
              </w:rPr>
              <w:t>(使用電力量)×(電力量料金単価)</w:t>
            </w:r>
          </w:p>
          <w:p w14:paraId="1D3B164D" w14:textId="77777777" w:rsidR="00487CFE" w:rsidRPr="00977BA2" w:rsidRDefault="00487CFE" w:rsidP="00AB18A2">
            <w:pPr>
              <w:jc w:val="center"/>
              <w:rPr>
                <w:rFonts w:hAnsi="ＭＳ 明朝"/>
                <w:spacing w:val="6"/>
                <w:sz w:val="20"/>
              </w:rPr>
            </w:pPr>
            <w:r w:rsidRPr="00977BA2">
              <w:rPr>
                <w:rFonts w:hAnsi="ＭＳ 明朝" w:hint="eastAsia"/>
                <w:spacing w:val="6"/>
                <w:sz w:val="20"/>
              </w:rPr>
              <w:t>＋燃料費調整額</w:t>
            </w:r>
            <w:r>
              <w:rPr>
                <w:rFonts w:hAnsi="ＭＳ 明朝" w:hint="eastAsia"/>
                <w:spacing w:val="6"/>
                <w:sz w:val="20"/>
              </w:rPr>
              <w:t>＋</w:t>
            </w:r>
            <w:r w:rsidRPr="006E17FE">
              <w:rPr>
                <w:rFonts w:hAnsi="ＭＳ 明朝" w:hint="eastAsia"/>
                <w:spacing w:val="6"/>
                <w:sz w:val="20"/>
              </w:rPr>
              <w:t>市場価格調整額</w:t>
            </w:r>
          </w:p>
        </w:tc>
      </w:tr>
      <w:tr w:rsidR="00487CFE" w:rsidRPr="00977BA2" w14:paraId="2338FB4D" w14:textId="77777777" w:rsidTr="00AB18A2">
        <w:trPr>
          <w:cantSplit/>
          <w:trHeight w:val="737"/>
        </w:trPr>
        <w:tc>
          <w:tcPr>
            <w:tcW w:w="1133" w:type="dxa"/>
            <w:vMerge/>
            <w:tcBorders>
              <w:left w:val="single" w:sz="12" w:space="0" w:color="auto"/>
            </w:tcBorders>
            <w:shd w:val="clear" w:color="auto" w:fill="DAEEF3"/>
            <w:vAlign w:val="center"/>
          </w:tcPr>
          <w:p w14:paraId="0C739039" w14:textId="77777777" w:rsidR="00487CFE" w:rsidRPr="00977BA2" w:rsidRDefault="00487CFE" w:rsidP="00AB18A2">
            <w:pPr>
              <w:jc w:val="center"/>
              <w:rPr>
                <w:rFonts w:hAnsi="ＭＳ 明朝"/>
                <w:spacing w:val="6"/>
                <w:sz w:val="20"/>
              </w:rPr>
            </w:pPr>
          </w:p>
        </w:tc>
        <w:tc>
          <w:tcPr>
            <w:tcW w:w="993" w:type="dxa"/>
            <w:vMerge/>
            <w:shd w:val="clear" w:color="auto" w:fill="DAEEF3"/>
            <w:vAlign w:val="center"/>
          </w:tcPr>
          <w:p w14:paraId="487097C6" w14:textId="77777777" w:rsidR="00487CFE" w:rsidRPr="00977BA2" w:rsidRDefault="00487CFE" w:rsidP="00AB18A2">
            <w:pPr>
              <w:jc w:val="center"/>
              <w:rPr>
                <w:rFonts w:hAnsi="ＭＳ 明朝"/>
                <w:spacing w:val="6"/>
                <w:sz w:val="20"/>
              </w:rPr>
            </w:pPr>
          </w:p>
        </w:tc>
        <w:tc>
          <w:tcPr>
            <w:tcW w:w="1134" w:type="dxa"/>
            <w:tcBorders>
              <w:bottom w:val="single" w:sz="4" w:space="0" w:color="auto"/>
            </w:tcBorders>
            <w:shd w:val="clear" w:color="auto" w:fill="DAEEF3"/>
            <w:vAlign w:val="center"/>
          </w:tcPr>
          <w:p w14:paraId="227B6232" w14:textId="77777777" w:rsidR="00487CFE" w:rsidRPr="00977BA2" w:rsidRDefault="00487CFE" w:rsidP="00AB18A2">
            <w:pPr>
              <w:jc w:val="center"/>
              <w:rPr>
                <w:rFonts w:hAnsi="ＭＳ 明朝"/>
                <w:spacing w:val="6"/>
                <w:sz w:val="20"/>
              </w:rPr>
            </w:pPr>
            <w:r w:rsidRPr="00977BA2">
              <w:rPr>
                <w:rFonts w:hAnsi="ＭＳ 明朝" w:hint="eastAsia"/>
                <w:spacing w:val="6"/>
                <w:sz w:val="20"/>
              </w:rPr>
              <w:t>その他季※２</w:t>
            </w:r>
          </w:p>
        </w:tc>
        <w:tc>
          <w:tcPr>
            <w:tcW w:w="1845" w:type="dxa"/>
            <w:tcBorders>
              <w:bottom w:val="single" w:sz="4" w:space="0" w:color="auto"/>
            </w:tcBorders>
            <w:shd w:val="clear" w:color="auto" w:fill="DAEEF3"/>
            <w:vAlign w:val="center"/>
          </w:tcPr>
          <w:p w14:paraId="7272D4C7" w14:textId="77777777" w:rsidR="00487CFE" w:rsidRPr="00977BA2" w:rsidRDefault="00487CFE" w:rsidP="00AB18A2">
            <w:pPr>
              <w:ind w:rightChars="125" w:right="263"/>
              <w:jc w:val="right"/>
              <w:rPr>
                <w:rFonts w:hAnsi="ＭＳ 明朝"/>
                <w:spacing w:val="6"/>
                <w:sz w:val="20"/>
              </w:rPr>
            </w:pPr>
            <w:r w:rsidRPr="00977BA2">
              <w:rPr>
                <w:rFonts w:hAnsi="ＭＳ 明朝" w:hint="eastAsia"/>
                <w:spacing w:val="6"/>
                <w:sz w:val="20"/>
              </w:rPr>
              <w:t>金</w:t>
            </w:r>
            <w:r w:rsidRPr="00977BA2">
              <w:rPr>
                <w:rFonts w:hAnsi="ＭＳ 明朝"/>
                <w:spacing w:val="6"/>
                <w:sz w:val="20"/>
              </w:rPr>
              <w:t xml:space="preserve"> </w:t>
            </w:r>
            <w:r w:rsidRPr="00977BA2">
              <w:rPr>
                <w:rFonts w:hAnsi="ＭＳ 明朝" w:hint="eastAsia"/>
                <w:spacing w:val="6"/>
                <w:sz w:val="20"/>
              </w:rPr>
              <w:t>円/kWh</w:t>
            </w:r>
          </w:p>
        </w:tc>
        <w:tc>
          <w:tcPr>
            <w:tcW w:w="4393" w:type="dxa"/>
            <w:vMerge/>
            <w:tcBorders>
              <w:right w:val="single" w:sz="12" w:space="0" w:color="auto"/>
            </w:tcBorders>
            <w:shd w:val="clear" w:color="auto" w:fill="DAEEF3"/>
            <w:vAlign w:val="center"/>
          </w:tcPr>
          <w:p w14:paraId="3A59D479" w14:textId="77777777" w:rsidR="00487CFE" w:rsidRPr="00977BA2" w:rsidRDefault="00487CFE" w:rsidP="00AB18A2">
            <w:pPr>
              <w:jc w:val="center"/>
              <w:rPr>
                <w:rFonts w:hAnsi="ＭＳ 明朝"/>
                <w:spacing w:val="6"/>
                <w:sz w:val="20"/>
              </w:rPr>
            </w:pPr>
          </w:p>
        </w:tc>
      </w:tr>
      <w:tr w:rsidR="00487CFE" w:rsidRPr="009D7575" w14:paraId="14146EC3" w14:textId="77777777" w:rsidTr="00AB18A2">
        <w:trPr>
          <w:cantSplit/>
          <w:trHeight w:val="737"/>
        </w:trPr>
        <w:tc>
          <w:tcPr>
            <w:tcW w:w="5105" w:type="dxa"/>
            <w:gridSpan w:val="4"/>
            <w:tcBorders>
              <w:left w:val="single" w:sz="12" w:space="0" w:color="auto"/>
              <w:bottom w:val="single" w:sz="12" w:space="0" w:color="auto"/>
            </w:tcBorders>
            <w:shd w:val="clear" w:color="auto" w:fill="DAEEF3"/>
            <w:vAlign w:val="center"/>
          </w:tcPr>
          <w:p w14:paraId="0858B9E7" w14:textId="77777777" w:rsidR="00487CFE" w:rsidRPr="00977BA2" w:rsidRDefault="00487CFE" w:rsidP="00AB18A2">
            <w:pPr>
              <w:jc w:val="center"/>
              <w:rPr>
                <w:rFonts w:hAnsi="ＭＳ 明朝"/>
                <w:b/>
                <w:spacing w:val="6"/>
                <w:sz w:val="20"/>
              </w:rPr>
            </w:pPr>
            <w:r w:rsidRPr="00977BA2">
              <w:rPr>
                <w:rFonts w:hAnsi="ＭＳ 明朝" w:hint="eastAsia"/>
                <w:spacing w:val="6"/>
                <w:sz w:val="20"/>
              </w:rPr>
              <w:t>再生可能エネルギー発電促進賦課金</w:t>
            </w:r>
          </w:p>
        </w:tc>
        <w:tc>
          <w:tcPr>
            <w:tcW w:w="4393" w:type="dxa"/>
            <w:tcBorders>
              <w:bottom w:val="single" w:sz="12" w:space="0" w:color="auto"/>
              <w:right w:val="single" w:sz="12" w:space="0" w:color="auto"/>
            </w:tcBorders>
            <w:shd w:val="clear" w:color="auto" w:fill="DAEEF3"/>
            <w:vAlign w:val="center"/>
          </w:tcPr>
          <w:p w14:paraId="4EE095C1" w14:textId="77777777" w:rsidR="00487CFE" w:rsidRPr="00977BA2" w:rsidRDefault="00487CFE" w:rsidP="00AB18A2">
            <w:pPr>
              <w:jc w:val="center"/>
              <w:rPr>
                <w:rFonts w:hAnsi="ＭＳ 明朝"/>
                <w:spacing w:val="6"/>
                <w:sz w:val="20"/>
              </w:rPr>
            </w:pPr>
            <w:r w:rsidRPr="00977BA2">
              <w:rPr>
                <w:rFonts w:hAnsi="ＭＳ 明朝" w:hint="eastAsia"/>
                <w:spacing w:val="6"/>
                <w:sz w:val="20"/>
              </w:rPr>
              <w:t>（使用電力量）×</w:t>
            </w:r>
          </w:p>
          <w:p w14:paraId="18DDE7DB" w14:textId="77777777" w:rsidR="00487CFE" w:rsidRPr="009D7575" w:rsidRDefault="00487CFE" w:rsidP="00EC76E1">
            <w:pPr>
              <w:rPr>
                <w:rFonts w:hAnsi="ＭＳ 明朝"/>
                <w:spacing w:val="6"/>
                <w:sz w:val="20"/>
              </w:rPr>
            </w:pPr>
            <w:r w:rsidRPr="00977BA2">
              <w:rPr>
                <w:rFonts w:hAnsi="ＭＳ 明朝" w:hint="eastAsia"/>
                <w:spacing w:val="6"/>
                <w:sz w:val="20"/>
              </w:rPr>
              <w:t>（再生可能エネルギー発電促進賦課金単価）</w:t>
            </w:r>
          </w:p>
        </w:tc>
      </w:tr>
    </w:tbl>
    <w:p w14:paraId="4B9E29C8" w14:textId="77777777" w:rsidR="00DA6582" w:rsidRPr="00487CFE" w:rsidRDefault="00DA6582" w:rsidP="00F11312"/>
    <w:sectPr w:rsidR="00DA6582" w:rsidRPr="00487CFE">
      <w:headerReference w:type="default" r:id="rId1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3986DC" w14:textId="77777777" w:rsidR="00A225D8" w:rsidRDefault="00A225D8" w:rsidP="00646B96">
      <w:r>
        <w:separator/>
      </w:r>
    </w:p>
  </w:endnote>
  <w:endnote w:type="continuationSeparator" w:id="0">
    <w:p w14:paraId="1401781F" w14:textId="77777777" w:rsidR="00A225D8" w:rsidRDefault="00A225D8" w:rsidP="00646B96">
      <w:r>
        <w:continuationSeparator/>
      </w:r>
    </w:p>
  </w:endnote>
  <w:endnote w:type="continuationNotice" w:id="1">
    <w:p w14:paraId="551A61C8" w14:textId="77777777" w:rsidR="00A225D8" w:rsidRDefault="00A225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AE76D1" w14:textId="77777777" w:rsidR="00A225D8" w:rsidRDefault="00A225D8" w:rsidP="00646B96">
      <w:r>
        <w:separator/>
      </w:r>
    </w:p>
  </w:footnote>
  <w:footnote w:type="continuationSeparator" w:id="0">
    <w:p w14:paraId="080CC8C3" w14:textId="77777777" w:rsidR="00A225D8" w:rsidRDefault="00A225D8" w:rsidP="00646B96">
      <w:r>
        <w:continuationSeparator/>
      </w:r>
    </w:p>
  </w:footnote>
  <w:footnote w:type="continuationNotice" w:id="1">
    <w:p w14:paraId="2A29CED3" w14:textId="77777777" w:rsidR="00A225D8" w:rsidRDefault="00A225D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1EE175" w14:textId="77777777" w:rsidR="007D2B79" w:rsidRDefault="007D2B79">
    <w:pPr>
      <w:pStyle w:val="ab"/>
    </w:pPr>
  </w:p>
  <w:p w14:paraId="4C1D770E" w14:textId="77777777" w:rsidR="007D2B79" w:rsidRDefault="007D2B79">
    <w:pPr>
      <w:pStyle w:val="ab"/>
    </w:pPr>
  </w:p>
  <w:p w14:paraId="3CB58EE8" w14:textId="77777777" w:rsidR="007D2B79" w:rsidRDefault="007D2B79">
    <w:pPr>
      <w:pStyle w:val="ab"/>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5066CD"/>
    <w:multiLevelType w:val="hybridMultilevel"/>
    <w:tmpl w:val="ECC284F4"/>
    <w:lvl w:ilvl="0" w:tplc="F7426BB8">
      <w:start w:val="1"/>
      <w:numFmt w:val="bullet"/>
      <w:lvlText w:val="※"/>
      <w:lvlJc w:val="left"/>
      <w:pPr>
        <w:ind w:left="780" w:hanging="360"/>
      </w:pPr>
      <w:rPr>
        <w:rFonts w:ascii="游明朝" w:eastAsia="游明朝" w:hAnsi="游明朝" w:cstheme="minorBidi" w:hint="eastAsia"/>
      </w:rPr>
    </w:lvl>
    <w:lvl w:ilvl="1" w:tplc="0409000B" w:tentative="1">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abstractNum w:abstractNumId="1" w15:restartNumberingAfterBreak="0">
    <w:nsid w:val="20DF38E7"/>
    <w:multiLevelType w:val="hybridMultilevel"/>
    <w:tmpl w:val="F7FE763E"/>
    <w:lvl w:ilvl="0" w:tplc="FB34A344">
      <w:start w:val="1"/>
      <w:numFmt w:val="decimalFullWidth"/>
      <w:lvlText w:val="（%1）"/>
      <w:lvlJc w:val="left"/>
      <w:pPr>
        <w:ind w:left="720" w:hanging="72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375F7F0E"/>
    <w:multiLevelType w:val="hybridMultilevel"/>
    <w:tmpl w:val="F50EBEDA"/>
    <w:lvl w:ilvl="0" w:tplc="0409000B">
      <w:start w:val="1"/>
      <w:numFmt w:val="bullet"/>
      <w:lvlText w:val=""/>
      <w:lvlJc w:val="left"/>
      <w:pPr>
        <w:ind w:left="860" w:hanging="440"/>
      </w:pPr>
      <w:rPr>
        <w:rFonts w:ascii="Wingdings" w:hAnsi="Wingdings" w:hint="default"/>
      </w:rPr>
    </w:lvl>
    <w:lvl w:ilvl="1" w:tplc="0409000B" w:tentative="1">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abstractNum w:abstractNumId="3" w15:restartNumberingAfterBreak="0">
    <w:nsid w:val="3C3876D2"/>
    <w:multiLevelType w:val="hybridMultilevel"/>
    <w:tmpl w:val="065C4D3E"/>
    <w:lvl w:ilvl="0" w:tplc="DE16996C">
      <w:start w:val="2"/>
      <w:numFmt w:val="bullet"/>
      <w:lvlText w:val="・"/>
      <w:lvlJc w:val="left"/>
      <w:pPr>
        <w:ind w:left="780" w:hanging="360"/>
      </w:pPr>
      <w:rPr>
        <w:rFonts w:ascii="游明朝" w:eastAsia="游明朝" w:hAnsi="游明朝" w:cstheme="minorBidi" w:hint="eastAsia"/>
      </w:rPr>
    </w:lvl>
    <w:lvl w:ilvl="1" w:tplc="A51A43B0">
      <w:start w:val="1"/>
      <w:numFmt w:val="bullet"/>
      <w:lvlText w:val="※"/>
      <w:lvlJc w:val="left"/>
      <w:pPr>
        <w:ind w:left="1220" w:hanging="360"/>
      </w:pPr>
      <w:rPr>
        <w:rFonts w:ascii="游明朝" w:eastAsia="游明朝" w:hAnsi="游明朝" w:cstheme="minorBidi" w:hint="eastAsia"/>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abstractNum w:abstractNumId="4" w15:restartNumberingAfterBreak="0">
    <w:nsid w:val="4A27758A"/>
    <w:multiLevelType w:val="hybridMultilevel"/>
    <w:tmpl w:val="124442A2"/>
    <w:lvl w:ilvl="0" w:tplc="6262A37A">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4E31654B"/>
    <w:multiLevelType w:val="hybridMultilevel"/>
    <w:tmpl w:val="9DC4FE96"/>
    <w:lvl w:ilvl="0" w:tplc="DF86B09A">
      <w:start w:val="2"/>
      <w:numFmt w:val="bullet"/>
      <w:lvlText w:val="・"/>
      <w:lvlJc w:val="left"/>
      <w:pPr>
        <w:ind w:left="780" w:hanging="360"/>
      </w:pPr>
      <w:rPr>
        <w:rFonts w:ascii="游明朝" w:eastAsia="游明朝" w:hAnsi="游明朝" w:cstheme="minorBidi" w:hint="eastAsia"/>
      </w:rPr>
    </w:lvl>
    <w:lvl w:ilvl="1" w:tplc="0409000B" w:tentative="1">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abstractNum w:abstractNumId="6" w15:restartNumberingAfterBreak="0">
    <w:nsid w:val="590851A7"/>
    <w:multiLevelType w:val="hybridMultilevel"/>
    <w:tmpl w:val="DB04A9C6"/>
    <w:lvl w:ilvl="0" w:tplc="1EC26A84">
      <w:start w:val="13"/>
      <w:numFmt w:val="decimal"/>
      <w:lvlText w:val="%1"/>
      <w:lvlJc w:val="left"/>
      <w:pPr>
        <w:ind w:left="360" w:hanging="36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2076778739">
    <w:abstractNumId w:val="4"/>
  </w:num>
  <w:num w:numId="2" w16cid:durableId="1582914021">
    <w:abstractNumId w:val="0"/>
  </w:num>
  <w:num w:numId="3" w16cid:durableId="764037069">
    <w:abstractNumId w:val="2"/>
  </w:num>
  <w:num w:numId="4" w16cid:durableId="1639218554">
    <w:abstractNumId w:val="1"/>
  </w:num>
  <w:num w:numId="5" w16cid:durableId="1221558110">
    <w:abstractNumId w:val="6"/>
  </w:num>
  <w:num w:numId="6" w16cid:durableId="1743023774">
    <w:abstractNumId w:val="5"/>
  </w:num>
  <w:num w:numId="7" w16cid:durableId="173338906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03E0"/>
    <w:rsid w:val="000140DF"/>
    <w:rsid w:val="0001667B"/>
    <w:rsid w:val="00016D96"/>
    <w:rsid w:val="00017A8F"/>
    <w:rsid w:val="00020ADB"/>
    <w:rsid w:val="000243D9"/>
    <w:rsid w:val="00026497"/>
    <w:rsid w:val="00027FC1"/>
    <w:rsid w:val="00027FF9"/>
    <w:rsid w:val="00033557"/>
    <w:rsid w:val="00041115"/>
    <w:rsid w:val="00045C42"/>
    <w:rsid w:val="000578AB"/>
    <w:rsid w:val="0006245A"/>
    <w:rsid w:val="00064A06"/>
    <w:rsid w:val="00066CE1"/>
    <w:rsid w:val="000732D2"/>
    <w:rsid w:val="0008045C"/>
    <w:rsid w:val="00091BFE"/>
    <w:rsid w:val="000A3CEE"/>
    <w:rsid w:val="000B22DB"/>
    <w:rsid w:val="000B3E96"/>
    <w:rsid w:val="000B75A3"/>
    <w:rsid w:val="000C60F5"/>
    <w:rsid w:val="000E5811"/>
    <w:rsid w:val="001026F6"/>
    <w:rsid w:val="0011512B"/>
    <w:rsid w:val="00117A2F"/>
    <w:rsid w:val="00130B69"/>
    <w:rsid w:val="00130E39"/>
    <w:rsid w:val="001334FC"/>
    <w:rsid w:val="00135C87"/>
    <w:rsid w:val="00143750"/>
    <w:rsid w:val="00144BB8"/>
    <w:rsid w:val="001532EB"/>
    <w:rsid w:val="00164724"/>
    <w:rsid w:val="00165471"/>
    <w:rsid w:val="0017027C"/>
    <w:rsid w:val="00183A7A"/>
    <w:rsid w:val="00184EA4"/>
    <w:rsid w:val="001A405A"/>
    <w:rsid w:val="001B1D53"/>
    <w:rsid w:val="001B2837"/>
    <w:rsid w:val="001B2C17"/>
    <w:rsid w:val="001C6A8F"/>
    <w:rsid w:val="001C6B38"/>
    <w:rsid w:val="001E5AA5"/>
    <w:rsid w:val="001E7997"/>
    <w:rsid w:val="002002E7"/>
    <w:rsid w:val="002034E8"/>
    <w:rsid w:val="00206B4A"/>
    <w:rsid w:val="00207B25"/>
    <w:rsid w:val="00210D25"/>
    <w:rsid w:val="00213263"/>
    <w:rsid w:val="00220C34"/>
    <w:rsid w:val="00224417"/>
    <w:rsid w:val="002249C3"/>
    <w:rsid w:val="0023151E"/>
    <w:rsid w:val="0023363F"/>
    <w:rsid w:val="00241A7E"/>
    <w:rsid w:val="00250E25"/>
    <w:rsid w:val="00255DA4"/>
    <w:rsid w:val="00261A30"/>
    <w:rsid w:val="0026448C"/>
    <w:rsid w:val="002770C2"/>
    <w:rsid w:val="002773C4"/>
    <w:rsid w:val="00277CB5"/>
    <w:rsid w:val="002803EC"/>
    <w:rsid w:val="002813A5"/>
    <w:rsid w:val="00283D1B"/>
    <w:rsid w:val="00287477"/>
    <w:rsid w:val="00296294"/>
    <w:rsid w:val="0029760E"/>
    <w:rsid w:val="002A20BA"/>
    <w:rsid w:val="002B46A0"/>
    <w:rsid w:val="002C0B83"/>
    <w:rsid w:val="002E0B84"/>
    <w:rsid w:val="002E59BB"/>
    <w:rsid w:val="002F540F"/>
    <w:rsid w:val="002F748D"/>
    <w:rsid w:val="00303B3D"/>
    <w:rsid w:val="00306AFB"/>
    <w:rsid w:val="003162B6"/>
    <w:rsid w:val="0033274A"/>
    <w:rsid w:val="00332F6E"/>
    <w:rsid w:val="003404B5"/>
    <w:rsid w:val="0034323F"/>
    <w:rsid w:val="00345B4A"/>
    <w:rsid w:val="00346F72"/>
    <w:rsid w:val="00354153"/>
    <w:rsid w:val="003551D2"/>
    <w:rsid w:val="003573B8"/>
    <w:rsid w:val="00370A44"/>
    <w:rsid w:val="00370F04"/>
    <w:rsid w:val="003723C3"/>
    <w:rsid w:val="003806D1"/>
    <w:rsid w:val="00381BD3"/>
    <w:rsid w:val="003823B0"/>
    <w:rsid w:val="00385578"/>
    <w:rsid w:val="00396F60"/>
    <w:rsid w:val="00397EDC"/>
    <w:rsid w:val="003A073C"/>
    <w:rsid w:val="003A0F6C"/>
    <w:rsid w:val="003A4519"/>
    <w:rsid w:val="003B3183"/>
    <w:rsid w:val="003C2B00"/>
    <w:rsid w:val="003C3387"/>
    <w:rsid w:val="003D2462"/>
    <w:rsid w:val="003D3530"/>
    <w:rsid w:val="003D7043"/>
    <w:rsid w:val="003E55FF"/>
    <w:rsid w:val="003E78E2"/>
    <w:rsid w:val="003F03E0"/>
    <w:rsid w:val="003F0DF4"/>
    <w:rsid w:val="003F29AB"/>
    <w:rsid w:val="0040088B"/>
    <w:rsid w:val="0041643A"/>
    <w:rsid w:val="00422744"/>
    <w:rsid w:val="00425031"/>
    <w:rsid w:val="00427CBF"/>
    <w:rsid w:val="00427DAF"/>
    <w:rsid w:val="00430314"/>
    <w:rsid w:val="00441842"/>
    <w:rsid w:val="00445E5D"/>
    <w:rsid w:val="00446F8A"/>
    <w:rsid w:val="00451884"/>
    <w:rsid w:val="00465068"/>
    <w:rsid w:val="00471091"/>
    <w:rsid w:val="00475800"/>
    <w:rsid w:val="00477BEE"/>
    <w:rsid w:val="00480CDC"/>
    <w:rsid w:val="004856AE"/>
    <w:rsid w:val="00487CFE"/>
    <w:rsid w:val="00494040"/>
    <w:rsid w:val="00494835"/>
    <w:rsid w:val="004B639C"/>
    <w:rsid w:val="004C09A2"/>
    <w:rsid w:val="004C431E"/>
    <w:rsid w:val="004D0F7F"/>
    <w:rsid w:val="004E011C"/>
    <w:rsid w:val="004E2557"/>
    <w:rsid w:val="004E585A"/>
    <w:rsid w:val="005009F4"/>
    <w:rsid w:val="005053AD"/>
    <w:rsid w:val="00505C22"/>
    <w:rsid w:val="00507C04"/>
    <w:rsid w:val="005256B2"/>
    <w:rsid w:val="00530C49"/>
    <w:rsid w:val="005330B3"/>
    <w:rsid w:val="00544002"/>
    <w:rsid w:val="00547DDB"/>
    <w:rsid w:val="0056603B"/>
    <w:rsid w:val="00573FEB"/>
    <w:rsid w:val="00595F66"/>
    <w:rsid w:val="005A629D"/>
    <w:rsid w:val="005B0190"/>
    <w:rsid w:val="005B0A85"/>
    <w:rsid w:val="005B0BBC"/>
    <w:rsid w:val="005B4075"/>
    <w:rsid w:val="005B4990"/>
    <w:rsid w:val="005B71BB"/>
    <w:rsid w:val="005B76E0"/>
    <w:rsid w:val="005C0AE6"/>
    <w:rsid w:val="005C431F"/>
    <w:rsid w:val="005C4E2E"/>
    <w:rsid w:val="005D1418"/>
    <w:rsid w:val="005D3670"/>
    <w:rsid w:val="00601245"/>
    <w:rsid w:val="00623D40"/>
    <w:rsid w:val="0062607C"/>
    <w:rsid w:val="006271EA"/>
    <w:rsid w:val="00627C2A"/>
    <w:rsid w:val="00634973"/>
    <w:rsid w:val="00646882"/>
    <w:rsid w:val="00646B96"/>
    <w:rsid w:val="006558C7"/>
    <w:rsid w:val="006603AF"/>
    <w:rsid w:val="00662019"/>
    <w:rsid w:val="00677EBF"/>
    <w:rsid w:val="00680457"/>
    <w:rsid w:val="006805F5"/>
    <w:rsid w:val="006816ED"/>
    <w:rsid w:val="0068208A"/>
    <w:rsid w:val="006863F3"/>
    <w:rsid w:val="006869D5"/>
    <w:rsid w:val="00694AE5"/>
    <w:rsid w:val="006A20DD"/>
    <w:rsid w:val="006A754A"/>
    <w:rsid w:val="006B47B8"/>
    <w:rsid w:val="006B6D37"/>
    <w:rsid w:val="006E15B8"/>
    <w:rsid w:val="006F51AA"/>
    <w:rsid w:val="006F5E51"/>
    <w:rsid w:val="00700FD9"/>
    <w:rsid w:val="0070268C"/>
    <w:rsid w:val="00706349"/>
    <w:rsid w:val="007166C7"/>
    <w:rsid w:val="00725D71"/>
    <w:rsid w:val="0072694B"/>
    <w:rsid w:val="00731599"/>
    <w:rsid w:val="0073336D"/>
    <w:rsid w:val="00745E30"/>
    <w:rsid w:val="00754591"/>
    <w:rsid w:val="00760993"/>
    <w:rsid w:val="00761ECA"/>
    <w:rsid w:val="0076277D"/>
    <w:rsid w:val="00764190"/>
    <w:rsid w:val="00764AA2"/>
    <w:rsid w:val="00764C2B"/>
    <w:rsid w:val="00765E08"/>
    <w:rsid w:val="00773A13"/>
    <w:rsid w:val="00790AC2"/>
    <w:rsid w:val="00797E2D"/>
    <w:rsid w:val="007A06AF"/>
    <w:rsid w:val="007A1E5C"/>
    <w:rsid w:val="007A5435"/>
    <w:rsid w:val="007B1C9A"/>
    <w:rsid w:val="007B225C"/>
    <w:rsid w:val="007B3587"/>
    <w:rsid w:val="007B37FF"/>
    <w:rsid w:val="007B4DF0"/>
    <w:rsid w:val="007C3143"/>
    <w:rsid w:val="007D206F"/>
    <w:rsid w:val="007D2B79"/>
    <w:rsid w:val="007D4C82"/>
    <w:rsid w:val="007D7665"/>
    <w:rsid w:val="007E4A45"/>
    <w:rsid w:val="007E67E1"/>
    <w:rsid w:val="00801E66"/>
    <w:rsid w:val="00804022"/>
    <w:rsid w:val="00804BE6"/>
    <w:rsid w:val="00805D1D"/>
    <w:rsid w:val="00807417"/>
    <w:rsid w:val="0082250D"/>
    <w:rsid w:val="008235B7"/>
    <w:rsid w:val="00823715"/>
    <w:rsid w:val="00825425"/>
    <w:rsid w:val="00830D8D"/>
    <w:rsid w:val="0084699E"/>
    <w:rsid w:val="0086430F"/>
    <w:rsid w:val="00872DCB"/>
    <w:rsid w:val="00877A03"/>
    <w:rsid w:val="00880FBB"/>
    <w:rsid w:val="00883D01"/>
    <w:rsid w:val="00891A85"/>
    <w:rsid w:val="00892391"/>
    <w:rsid w:val="008931E2"/>
    <w:rsid w:val="008B5F49"/>
    <w:rsid w:val="008B6878"/>
    <w:rsid w:val="008C345B"/>
    <w:rsid w:val="008C431E"/>
    <w:rsid w:val="008D1B8B"/>
    <w:rsid w:val="008D3AD8"/>
    <w:rsid w:val="008E19C9"/>
    <w:rsid w:val="008E5E9C"/>
    <w:rsid w:val="0090187C"/>
    <w:rsid w:val="00904FF2"/>
    <w:rsid w:val="00906756"/>
    <w:rsid w:val="00927EF6"/>
    <w:rsid w:val="0093385B"/>
    <w:rsid w:val="00933F4A"/>
    <w:rsid w:val="00936B34"/>
    <w:rsid w:val="00947D7F"/>
    <w:rsid w:val="00952556"/>
    <w:rsid w:val="00952F24"/>
    <w:rsid w:val="00953417"/>
    <w:rsid w:val="00953AE0"/>
    <w:rsid w:val="00954FFB"/>
    <w:rsid w:val="009674A1"/>
    <w:rsid w:val="009A2A0A"/>
    <w:rsid w:val="009B2559"/>
    <w:rsid w:val="009C01F6"/>
    <w:rsid w:val="009C2030"/>
    <w:rsid w:val="009D0DDD"/>
    <w:rsid w:val="009D1537"/>
    <w:rsid w:val="009D250A"/>
    <w:rsid w:val="009D3E3D"/>
    <w:rsid w:val="009D6EBF"/>
    <w:rsid w:val="009D7410"/>
    <w:rsid w:val="00A14FC4"/>
    <w:rsid w:val="00A15E62"/>
    <w:rsid w:val="00A225D8"/>
    <w:rsid w:val="00A22A41"/>
    <w:rsid w:val="00A36ED8"/>
    <w:rsid w:val="00A46F29"/>
    <w:rsid w:val="00A53808"/>
    <w:rsid w:val="00A55739"/>
    <w:rsid w:val="00A73661"/>
    <w:rsid w:val="00A8168E"/>
    <w:rsid w:val="00A81EB2"/>
    <w:rsid w:val="00A86FDF"/>
    <w:rsid w:val="00A90DC3"/>
    <w:rsid w:val="00AA21DB"/>
    <w:rsid w:val="00AA60E6"/>
    <w:rsid w:val="00AC53E6"/>
    <w:rsid w:val="00AD6263"/>
    <w:rsid w:val="00AD73ED"/>
    <w:rsid w:val="00AE26E2"/>
    <w:rsid w:val="00AE415A"/>
    <w:rsid w:val="00AE7CFC"/>
    <w:rsid w:val="00AF44C1"/>
    <w:rsid w:val="00B055B7"/>
    <w:rsid w:val="00B0576D"/>
    <w:rsid w:val="00B1194A"/>
    <w:rsid w:val="00B2174A"/>
    <w:rsid w:val="00B2576C"/>
    <w:rsid w:val="00B25D19"/>
    <w:rsid w:val="00B30681"/>
    <w:rsid w:val="00B3496E"/>
    <w:rsid w:val="00B4052C"/>
    <w:rsid w:val="00B45E75"/>
    <w:rsid w:val="00B5749D"/>
    <w:rsid w:val="00B6093B"/>
    <w:rsid w:val="00B631CE"/>
    <w:rsid w:val="00B658C1"/>
    <w:rsid w:val="00B65C0C"/>
    <w:rsid w:val="00B72AE1"/>
    <w:rsid w:val="00B751EA"/>
    <w:rsid w:val="00B75607"/>
    <w:rsid w:val="00B8157D"/>
    <w:rsid w:val="00B82C19"/>
    <w:rsid w:val="00B90B37"/>
    <w:rsid w:val="00B94A15"/>
    <w:rsid w:val="00BA15EC"/>
    <w:rsid w:val="00BA28A2"/>
    <w:rsid w:val="00BA31C2"/>
    <w:rsid w:val="00BB290A"/>
    <w:rsid w:val="00BB4A74"/>
    <w:rsid w:val="00BC158C"/>
    <w:rsid w:val="00BC1DB4"/>
    <w:rsid w:val="00BC1FE8"/>
    <w:rsid w:val="00BC29E4"/>
    <w:rsid w:val="00BC6B29"/>
    <w:rsid w:val="00BF1ECA"/>
    <w:rsid w:val="00C15603"/>
    <w:rsid w:val="00C16C89"/>
    <w:rsid w:val="00C216CC"/>
    <w:rsid w:val="00C23B66"/>
    <w:rsid w:val="00C5096E"/>
    <w:rsid w:val="00C51101"/>
    <w:rsid w:val="00C538AB"/>
    <w:rsid w:val="00C560EA"/>
    <w:rsid w:val="00C60215"/>
    <w:rsid w:val="00C67677"/>
    <w:rsid w:val="00C7023B"/>
    <w:rsid w:val="00C70331"/>
    <w:rsid w:val="00C72E8B"/>
    <w:rsid w:val="00C7313C"/>
    <w:rsid w:val="00C738BC"/>
    <w:rsid w:val="00C7474F"/>
    <w:rsid w:val="00C748BF"/>
    <w:rsid w:val="00C86492"/>
    <w:rsid w:val="00C8738E"/>
    <w:rsid w:val="00CA6B70"/>
    <w:rsid w:val="00CB1FF8"/>
    <w:rsid w:val="00CB5CA0"/>
    <w:rsid w:val="00CC336A"/>
    <w:rsid w:val="00CC3A12"/>
    <w:rsid w:val="00CC6674"/>
    <w:rsid w:val="00CC7A82"/>
    <w:rsid w:val="00CD788C"/>
    <w:rsid w:val="00CE3C81"/>
    <w:rsid w:val="00CF0E25"/>
    <w:rsid w:val="00D1291C"/>
    <w:rsid w:val="00D1564C"/>
    <w:rsid w:val="00D17DD7"/>
    <w:rsid w:val="00D249EE"/>
    <w:rsid w:val="00D35C26"/>
    <w:rsid w:val="00D36BBD"/>
    <w:rsid w:val="00D46938"/>
    <w:rsid w:val="00D52F0A"/>
    <w:rsid w:val="00D6173F"/>
    <w:rsid w:val="00D61E3E"/>
    <w:rsid w:val="00D625B3"/>
    <w:rsid w:val="00D6547E"/>
    <w:rsid w:val="00D7141E"/>
    <w:rsid w:val="00D77E7A"/>
    <w:rsid w:val="00D86653"/>
    <w:rsid w:val="00D87242"/>
    <w:rsid w:val="00D956CD"/>
    <w:rsid w:val="00D95982"/>
    <w:rsid w:val="00DA2C73"/>
    <w:rsid w:val="00DA6582"/>
    <w:rsid w:val="00DA679D"/>
    <w:rsid w:val="00DB1952"/>
    <w:rsid w:val="00DB6B45"/>
    <w:rsid w:val="00DB6BB9"/>
    <w:rsid w:val="00DB70BF"/>
    <w:rsid w:val="00DC0689"/>
    <w:rsid w:val="00DC0C67"/>
    <w:rsid w:val="00DC6E0B"/>
    <w:rsid w:val="00DD4FBC"/>
    <w:rsid w:val="00DE3C62"/>
    <w:rsid w:val="00DF5173"/>
    <w:rsid w:val="00E010F2"/>
    <w:rsid w:val="00E033B6"/>
    <w:rsid w:val="00E03DA9"/>
    <w:rsid w:val="00E061EA"/>
    <w:rsid w:val="00E07055"/>
    <w:rsid w:val="00E0750D"/>
    <w:rsid w:val="00E209E3"/>
    <w:rsid w:val="00E32119"/>
    <w:rsid w:val="00E32273"/>
    <w:rsid w:val="00E3452D"/>
    <w:rsid w:val="00E34C0E"/>
    <w:rsid w:val="00E3688A"/>
    <w:rsid w:val="00E41E7D"/>
    <w:rsid w:val="00E53C8D"/>
    <w:rsid w:val="00E60F7C"/>
    <w:rsid w:val="00E6195F"/>
    <w:rsid w:val="00E6648F"/>
    <w:rsid w:val="00E75001"/>
    <w:rsid w:val="00E77A43"/>
    <w:rsid w:val="00E81488"/>
    <w:rsid w:val="00E8612E"/>
    <w:rsid w:val="00E86FBC"/>
    <w:rsid w:val="00E9750F"/>
    <w:rsid w:val="00EA1DE4"/>
    <w:rsid w:val="00EB3C77"/>
    <w:rsid w:val="00EB4670"/>
    <w:rsid w:val="00EB6BE5"/>
    <w:rsid w:val="00EB71CA"/>
    <w:rsid w:val="00EC14BF"/>
    <w:rsid w:val="00EC4605"/>
    <w:rsid w:val="00EC6E92"/>
    <w:rsid w:val="00EC76E1"/>
    <w:rsid w:val="00ED4DA8"/>
    <w:rsid w:val="00EE2554"/>
    <w:rsid w:val="00EE39BE"/>
    <w:rsid w:val="00EF2137"/>
    <w:rsid w:val="00EF7EBB"/>
    <w:rsid w:val="00F0078C"/>
    <w:rsid w:val="00F052AF"/>
    <w:rsid w:val="00F0555D"/>
    <w:rsid w:val="00F11312"/>
    <w:rsid w:val="00F24F34"/>
    <w:rsid w:val="00F26612"/>
    <w:rsid w:val="00F32999"/>
    <w:rsid w:val="00F332CD"/>
    <w:rsid w:val="00F4519C"/>
    <w:rsid w:val="00F47FE4"/>
    <w:rsid w:val="00F52B4F"/>
    <w:rsid w:val="00F569E7"/>
    <w:rsid w:val="00F65FC7"/>
    <w:rsid w:val="00F66679"/>
    <w:rsid w:val="00F72811"/>
    <w:rsid w:val="00F77C27"/>
    <w:rsid w:val="00F828B2"/>
    <w:rsid w:val="00F8431A"/>
    <w:rsid w:val="00F850F1"/>
    <w:rsid w:val="00F95801"/>
    <w:rsid w:val="00FA02FA"/>
    <w:rsid w:val="00FA2BBA"/>
    <w:rsid w:val="00FA5349"/>
    <w:rsid w:val="00FA5EF4"/>
    <w:rsid w:val="00FB1BFB"/>
    <w:rsid w:val="00FD641E"/>
    <w:rsid w:val="00FE0FC5"/>
    <w:rsid w:val="00FE2D1C"/>
    <w:rsid w:val="00FF1279"/>
    <w:rsid w:val="00FF4DCC"/>
    <w:rsid w:val="00FF5D56"/>
    <w:rsid w:val="00FF65B1"/>
    <w:rsid w:val="5AD7C190"/>
    <w:rsid w:val="5C4631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9626875"/>
  <w15:chartTrackingRefBased/>
  <w15:docId w15:val="{E384A554-D926-4BD0-A53A-81E08844D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B639C"/>
    <w:pPr>
      <w:widowControl w:val="0"/>
      <w:jc w:val="both"/>
    </w:pPr>
  </w:style>
  <w:style w:type="paragraph" w:styleId="1">
    <w:name w:val="heading 1"/>
    <w:basedOn w:val="a"/>
    <w:next w:val="a"/>
    <w:link w:val="10"/>
    <w:uiPriority w:val="9"/>
    <w:qFormat/>
    <w:rsid w:val="003F03E0"/>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3F03E0"/>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3F03E0"/>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3F03E0"/>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3F03E0"/>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3F03E0"/>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3F03E0"/>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3F03E0"/>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3F03E0"/>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3F03E0"/>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3F03E0"/>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3F03E0"/>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3F03E0"/>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3F03E0"/>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3F03E0"/>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3F03E0"/>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3F03E0"/>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3F03E0"/>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3F03E0"/>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3F03E0"/>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3F03E0"/>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3F03E0"/>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3F03E0"/>
    <w:pPr>
      <w:spacing w:before="160" w:after="160"/>
      <w:jc w:val="center"/>
    </w:pPr>
    <w:rPr>
      <w:i/>
      <w:iCs/>
      <w:color w:val="404040" w:themeColor="text1" w:themeTint="BF"/>
    </w:rPr>
  </w:style>
  <w:style w:type="character" w:customStyle="1" w:styleId="a8">
    <w:name w:val="引用文 (文字)"/>
    <w:basedOn w:val="a0"/>
    <w:link w:val="a7"/>
    <w:uiPriority w:val="29"/>
    <w:rsid w:val="003F03E0"/>
    <w:rPr>
      <w:i/>
      <w:iCs/>
      <w:color w:val="404040" w:themeColor="text1" w:themeTint="BF"/>
    </w:rPr>
  </w:style>
  <w:style w:type="paragraph" w:styleId="a9">
    <w:name w:val="List Paragraph"/>
    <w:basedOn w:val="a"/>
    <w:uiPriority w:val="34"/>
    <w:qFormat/>
    <w:rsid w:val="003F03E0"/>
    <w:pPr>
      <w:ind w:left="720"/>
      <w:contextualSpacing/>
    </w:pPr>
  </w:style>
  <w:style w:type="character" w:styleId="21">
    <w:name w:val="Intense Emphasis"/>
    <w:basedOn w:val="a0"/>
    <w:uiPriority w:val="21"/>
    <w:qFormat/>
    <w:rsid w:val="003F03E0"/>
    <w:rPr>
      <w:i/>
      <w:iCs/>
      <w:color w:val="0F4761" w:themeColor="accent1" w:themeShade="BF"/>
    </w:rPr>
  </w:style>
  <w:style w:type="paragraph" w:styleId="22">
    <w:name w:val="Intense Quote"/>
    <w:basedOn w:val="a"/>
    <w:next w:val="a"/>
    <w:link w:val="23"/>
    <w:uiPriority w:val="30"/>
    <w:qFormat/>
    <w:rsid w:val="003F03E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3F03E0"/>
    <w:rPr>
      <w:i/>
      <w:iCs/>
      <w:color w:val="0F4761" w:themeColor="accent1" w:themeShade="BF"/>
    </w:rPr>
  </w:style>
  <w:style w:type="character" w:styleId="24">
    <w:name w:val="Intense Reference"/>
    <w:basedOn w:val="a0"/>
    <w:uiPriority w:val="32"/>
    <w:qFormat/>
    <w:rsid w:val="003F03E0"/>
    <w:rPr>
      <w:b/>
      <w:bCs/>
      <w:smallCaps/>
      <w:color w:val="0F4761" w:themeColor="accent1" w:themeShade="BF"/>
      <w:spacing w:val="5"/>
    </w:rPr>
  </w:style>
  <w:style w:type="table" w:styleId="aa">
    <w:name w:val="Table Grid"/>
    <w:basedOn w:val="a1"/>
    <w:uiPriority w:val="59"/>
    <w:rsid w:val="00883D01"/>
    <w:rPr>
      <w:sz w:val="22"/>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646B96"/>
    <w:pPr>
      <w:tabs>
        <w:tab w:val="center" w:pos="4252"/>
        <w:tab w:val="right" w:pos="8504"/>
      </w:tabs>
      <w:snapToGrid w:val="0"/>
    </w:pPr>
  </w:style>
  <w:style w:type="character" w:customStyle="1" w:styleId="ac">
    <w:name w:val="ヘッダー (文字)"/>
    <w:basedOn w:val="a0"/>
    <w:link w:val="ab"/>
    <w:uiPriority w:val="99"/>
    <w:rsid w:val="00646B96"/>
  </w:style>
  <w:style w:type="paragraph" w:styleId="ad">
    <w:name w:val="footer"/>
    <w:basedOn w:val="a"/>
    <w:link w:val="ae"/>
    <w:uiPriority w:val="99"/>
    <w:unhideWhenUsed/>
    <w:rsid w:val="00646B96"/>
    <w:pPr>
      <w:tabs>
        <w:tab w:val="center" w:pos="4252"/>
        <w:tab w:val="right" w:pos="8504"/>
      </w:tabs>
      <w:snapToGrid w:val="0"/>
    </w:pPr>
  </w:style>
  <w:style w:type="character" w:customStyle="1" w:styleId="ae">
    <w:name w:val="フッター (文字)"/>
    <w:basedOn w:val="a0"/>
    <w:link w:val="ad"/>
    <w:uiPriority w:val="99"/>
    <w:rsid w:val="00646B96"/>
  </w:style>
  <w:style w:type="paragraph" w:styleId="af">
    <w:name w:val="Revision"/>
    <w:hidden/>
    <w:uiPriority w:val="99"/>
    <w:semiHidden/>
    <w:rsid w:val="00B4052C"/>
  </w:style>
  <w:style w:type="character" w:styleId="af0">
    <w:name w:val="annotation reference"/>
    <w:basedOn w:val="a0"/>
    <w:uiPriority w:val="99"/>
    <w:semiHidden/>
    <w:unhideWhenUsed/>
    <w:rsid w:val="00797E2D"/>
    <w:rPr>
      <w:sz w:val="18"/>
      <w:szCs w:val="18"/>
    </w:rPr>
  </w:style>
  <w:style w:type="paragraph" w:styleId="af1">
    <w:name w:val="annotation text"/>
    <w:basedOn w:val="a"/>
    <w:link w:val="af2"/>
    <w:uiPriority w:val="99"/>
    <w:unhideWhenUsed/>
    <w:rsid w:val="00797E2D"/>
    <w:pPr>
      <w:jc w:val="left"/>
    </w:pPr>
  </w:style>
  <w:style w:type="character" w:customStyle="1" w:styleId="af2">
    <w:name w:val="コメント文字列 (文字)"/>
    <w:basedOn w:val="a0"/>
    <w:link w:val="af1"/>
    <w:uiPriority w:val="99"/>
    <w:rsid w:val="00797E2D"/>
  </w:style>
  <w:style w:type="paragraph" w:styleId="af3">
    <w:name w:val="annotation subject"/>
    <w:basedOn w:val="af1"/>
    <w:next w:val="af1"/>
    <w:link w:val="af4"/>
    <w:uiPriority w:val="99"/>
    <w:semiHidden/>
    <w:unhideWhenUsed/>
    <w:rsid w:val="00797E2D"/>
    <w:rPr>
      <w:b/>
      <w:bCs/>
    </w:rPr>
  </w:style>
  <w:style w:type="character" w:customStyle="1" w:styleId="af4">
    <w:name w:val="コメント内容 (文字)"/>
    <w:basedOn w:val="af2"/>
    <w:link w:val="af3"/>
    <w:uiPriority w:val="99"/>
    <w:semiHidden/>
    <w:rsid w:val="00797E2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29859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E8BCB64B0AA124F871BCD6B157ACD3F" ma:contentTypeVersion="14" ma:contentTypeDescription="新しいドキュメントを作成します。" ma:contentTypeScope="" ma:versionID="25b2c0d006d2715c9c8510c6019b2665">
  <xsd:schema xmlns:xsd="http://www.w3.org/2001/XMLSchema" xmlns:xs="http://www.w3.org/2001/XMLSchema" xmlns:p="http://schemas.microsoft.com/office/2006/metadata/properties" xmlns:ns2="b92f0936-f399-40a7-90a7-8d1ffd9408d5" xmlns:ns3="93fcd716-d8fa-4630-8535-f3b5c4dba4fd" targetNamespace="http://schemas.microsoft.com/office/2006/metadata/properties" ma:root="true" ma:fieldsID="231a4886fc415ee06d9bd40e09bf2724" ns2:_="" ns3:_="">
    <xsd:import namespace="b92f0936-f399-40a7-90a7-8d1ffd9408d5"/>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f0936-f399-40a7-90a7-8d1ffd9408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df8768-b8bc-4154-8897-3900f9564e13}"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92f0936-f399-40a7-90a7-8d1ffd9408d5">
      <Terms xmlns="http://schemas.microsoft.com/office/infopath/2007/PartnerControls"/>
    </lcf76f155ced4ddcb4097134ff3c332f>
    <TaxCatchAll xmlns="93fcd716-d8fa-4630-8535-f3b5c4dba4fd" xsi:nil="true"/>
  </documentManagement>
</p:properties>
</file>

<file path=customXml/itemProps1.xml><?xml version="1.0" encoding="utf-8"?>
<ds:datastoreItem xmlns:ds="http://schemas.openxmlformats.org/officeDocument/2006/customXml" ds:itemID="{A8E178F9-BC51-41A0-B075-5CCF18979F7F}"/>
</file>

<file path=customXml/itemProps2.xml><?xml version="1.0" encoding="utf-8"?>
<ds:datastoreItem xmlns:ds="http://schemas.openxmlformats.org/officeDocument/2006/customXml" ds:itemID="{CBC64CB4-DBE5-4608-B363-D71AD385A384}">
  <ds:schemaRefs>
    <ds:schemaRef ds:uri="http://schemas.microsoft.com/sharepoint/v3/contenttype/forms"/>
  </ds:schemaRefs>
</ds:datastoreItem>
</file>

<file path=customXml/itemProps3.xml><?xml version="1.0" encoding="utf-8"?>
<ds:datastoreItem xmlns:ds="http://schemas.openxmlformats.org/officeDocument/2006/customXml" ds:itemID="{1F266C99-7EA4-4302-BBA4-2ECB8A66924B}"/>
</file>

<file path=docMetadata/LabelInfo.xml><?xml version="1.0" encoding="utf-8"?>
<clbl:labelList xmlns:clbl="http://schemas.microsoft.com/office/2020/mipLabelMetadata">
  <clbl:label id="{0887bfb2-df9a-4dfd-968d-83326fd2126c}" enabled="0" method="" siteId="{0887bfb2-df9a-4dfd-968d-83326fd2126c}" removed="1"/>
</clbl:labelList>
</file>

<file path=docProps/app.xml><?xml version="1.0" encoding="utf-8"?>
<Properties xmlns="http://schemas.openxmlformats.org/officeDocument/2006/extended-properties" xmlns:vt="http://schemas.openxmlformats.org/officeDocument/2006/docPropsVTypes">
  <Template>Normal.dotm</Template>
  <TotalTime>248</TotalTime>
  <Pages>5</Pages>
  <Words>526</Words>
  <Characters>3000</Characters>
  <Application>Microsoft Office Word</Application>
  <DocSecurity>0</DocSecurity>
  <Lines>25</Lines>
  <Paragraphs>7</Paragraphs>
  <ScaleCrop>false</ScaleCrop>
  <Company/>
  <LinksUpToDate>false</LinksUpToDate>
  <CharactersWithSpaces>3519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永橋 俊二</dc:creator>
  <cp:keywords/>
  <dc:description/>
  <cp:lastModifiedBy>仲谷　勲</cp:lastModifiedBy>
  <cp:revision>99</cp:revision>
  <cp:lastPrinted>2024-09-05T08:54:00Z</cp:lastPrinted>
  <dcterms:created xsi:type="dcterms:W3CDTF">2024-09-03T03:48:00Z</dcterms:created>
  <dcterms:modified xsi:type="dcterms:W3CDTF">2024-10-31T06:56:00Z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0x010100AE8BCB64B0AA124F871BCD6B157ACD3F</vt:lpwstr>
  </property>
</Properties>
</file>