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5B4CDA98" w:rsidR="008869B3" w:rsidRDefault="00A53444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A53444">
        <w:rPr>
          <w:rFonts w:ascii="BIZ UDPゴシック" w:eastAsia="BIZ UDPゴシック" w:hAnsi="BIZ UDPゴシック"/>
          <w:sz w:val="32"/>
          <w:szCs w:val="32"/>
        </w:rPr>
        <w:t>EXPOアリーナ「音響機材」のリユース2025年9月22日期公募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B1B7B25" w14:textId="77777777" w:rsidR="00E3602F" w:rsidRDefault="00E3602F">
      <w:pPr>
        <w:widowControl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  <w:r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br w:type="page"/>
      </w:r>
    </w:p>
    <w:p w14:paraId="02CA67E7" w14:textId="2E443E6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A5689D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A8C0D" w14:textId="77777777" w:rsidR="0084217D" w:rsidRDefault="0084217D" w:rsidP="00B711E9">
      <w:pPr>
        <w:spacing w:after="0" w:line="240" w:lineRule="auto"/>
      </w:pPr>
      <w:r>
        <w:separator/>
      </w:r>
    </w:p>
  </w:endnote>
  <w:endnote w:type="continuationSeparator" w:id="0">
    <w:p w14:paraId="3FD9CC5C" w14:textId="77777777" w:rsidR="0084217D" w:rsidRDefault="0084217D" w:rsidP="00B711E9">
      <w:pPr>
        <w:spacing w:after="0" w:line="240" w:lineRule="auto"/>
      </w:pPr>
      <w:r>
        <w:continuationSeparator/>
      </w:r>
    </w:p>
  </w:endnote>
  <w:endnote w:type="continuationNotice" w:id="1">
    <w:p w14:paraId="09E99223" w14:textId="77777777" w:rsidR="0084217D" w:rsidRDefault="00842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C449A" w14:textId="77777777" w:rsidR="0084217D" w:rsidRDefault="0084217D" w:rsidP="00B711E9">
      <w:pPr>
        <w:spacing w:after="0" w:line="240" w:lineRule="auto"/>
      </w:pPr>
      <w:r>
        <w:separator/>
      </w:r>
    </w:p>
  </w:footnote>
  <w:footnote w:type="continuationSeparator" w:id="0">
    <w:p w14:paraId="5A3A9A4B" w14:textId="77777777" w:rsidR="0084217D" w:rsidRDefault="0084217D" w:rsidP="00B711E9">
      <w:pPr>
        <w:spacing w:after="0" w:line="240" w:lineRule="auto"/>
      </w:pPr>
      <w:r>
        <w:continuationSeparator/>
      </w:r>
    </w:p>
  </w:footnote>
  <w:footnote w:type="continuationNotice" w:id="1">
    <w:p w14:paraId="07376AF2" w14:textId="77777777" w:rsidR="0084217D" w:rsidRDefault="008421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517A7"/>
    <w:rsid w:val="001A1A05"/>
    <w:rsid w:val="001D618A"/>
    <w:rsid w:val="001F7DB3"/>
    <w:rsid w:val="00264C82"/>
    <w:rsid w:val="00270217"/>
    <w:rsid w:val="002E6C90"/>
    <w:rsid w:val="00320B50"/>
    <w:rsid w:val="00355A5A"/>
    <w:rsid w:val="003612C5"/>
    <w:rsid w:val="00367A1C"/>
    <w:rsid w:val="00395E1A"/>
    <w:rsid w:val="003D13C9"/>
    <w:rsid w:val="003D3BB7"/>
    <w:rsid w:val="003E3AD9"/>
    <w:rsid w:val="003E46D6"/>
    <w:rsid w:val="00412D40"/>
    <w:rsid w:val="004B389B"/>
    <w:rsid w:val="004E3A1A"/>
    <w:rsid w:val="00511DB0"/>
    <w:rsid w:val="005379D1"/>
    <w:rsid w:val="0056202A"/>
    <w:rsid w:val="00566337"/>
    <w:rsid w:val="00592594"/>
    <w:rsid w:val="00617E24"/>
    <w:rsid w:val="00683417"/>
    <w:rsid w:val="006E7660"/>
    <w:rsid w:val="0070011C"/>
    <w:rsid w:val="00800D8B"/>
    <w:rsid w:val="0084217D"/>
    <w:rsid w:val="008869B3"/>
    <w:rsid w:val="008A37BC"/>
    <w:rsid w:val="008A6766"/>
    <w:rsid w:val="008D36DE"/>
    <w:rsid w:val="00911699"/>
    <w:rsid w:val="00916C90"/>
    <w:rsid w:val="009715FC"/>
    <w:rsid w:val="0098184F"/>
    <w:rsid w:val="009F1A89"/>
    <w:rsid w:val="009F524B"/>
    <w:rsid w:val="00A35B5C"/>
    <w:rsid w:val="00A4211E"/>
    <w:rsid w:val="00A53444"/>
    <w:rsid w:val="00A5689D"/>
    <w:rsid w:val="00AB0C33"/>
    <w:rsid w:val="00AC0F6C"/>
    <w:rsid w:val="00AE66E9"/>
    <w:rsid w:val="00B711E9"/>
    <w:rsid w:val="00BB5D67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25913"/>
    <w:rsid w:val="00E30B9A"/>
    <w:rsid w:val="00E3602F"/>
    <w:rsid w:val="00E91407"/>
    <w:rsid w:val="00F013D1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2025-09-06T00:21:00Z</dcterms:modified>
</cp:coreProperties>
</file>