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6FB5" w14:textId="77777777" w:rsidR="00A320A0" w:rsidRPr="00DA40EB" w:rsidRDefault="00A320A0" w:rsidP="00A320A0">
      <w:pPr>
        <w:jc w:val="center"/>
        <w:rPr>
          <w:rFonts w:ascii="メイリオ" w:eastAsia="メイリオ" w:hAnsi="メイリオ"/>
          <w:b/>
          <w:sz w:val="24"/>
          <w:szCs w:val="24"/>
        </w:rPr>
      </w:pPr>
      <w:r w:rsidRPr="00DA40EB">
        <w:rPr>
          <w:rFonts w:ascii="メイリオ" w:eastAsia="メイリオ" w:hAnsi="メイリオ" w:hint="eastAsia"/>
          <w:b/>
          <w:sz w:val="24"/>
          <w:szCs w:val="24"/>
        </w:rPr>
        <w:t>持続可能性に関する留意事項</w:t>
      </w:r>
    </w:p>
    <w:p w14:paraId="6AB5A691" w14:textId="4DB781D1" w:rsidR="005D642B" w:rsidRDefault="00DA40EB" w:rsidP="00DA40EB">
      <w:pPr>
        <w:jc w:val="right"/>
        <w:rPr>
          <w:rFonts w:ascii="メイリオ" w:eastAsia="メイリオ" w:hAnsi="メイリオ"/>
        </w:rPr>
      </w:pPr>
      <w:r w:rsidRPr="00DA40EB">
        <w:rPr>
          <w:rFonts w:ascii="メイリオ" w:eastAsia="メイリオ" w:hAnsi="メイリオ" w:hint="eastAsia"/>
        </w:rPr>
        <w:t>公益社団法人２０２５年日本国際博覧会協会</w:t>
      </w:r>
    </w:p>
    <w:p w14:paraId="6B70D31F" w14:textId="2454477E" w:rsidR="00DA40EB" w:rsidRDefault="00DA40EB" w:rsidP="00DA40EB">
      <w:pPr>
        <w:rPr>
          <w:rFonts w:ascii="メイリオ" w:eastAsia="メイリオ" w:hAnsi="メイリオ"/>
        </w:rPr>
      </w:pPr>
    </w:p>
    <w:p w14:paraId="6DB644A3" w14:textId="3E1F1041" w:rsidR="00DA40EB" w:rsidRPr="00DA40EB" w:rsidRDefault="00DA40EB" w:rsidP="00DA40EB">
      <w:pPr>
        <w:rPr>
          <w:rFonts w:ascii="メイリオ" w:eastAsia="メイリオ" w:hAnsi="メイリオ"/>
          <w:b/>
          <w:u w:val="single"/>
        </w:rPr>
      </w:pPr>
      <w:r w:rsidRPr="00DA40EB">
        <w:rPr>
          <w:rFonts w:ascii="メイリオ" w:eastAsia="メイリオ" w:hAnsi="メイリオ" w:hint="eastAsia"/>
          <w:b/>
          <w:u w:val="single"/>
        </w:rPr>
        <w:t>1．持続可能性に配慮した調達コード</w:t>
      </w:r>
    </w:p>
    <w:p w14:paraId="04741A3A" w14:textId="77777777" w:rsidR="00DA40EB" w:rsidRPr="00DA40EB" w:rsidRDefault="00DA40EB" w:rsidP="00DA40EB">
      <w:pPr>
        <w:ind w:firstLineChars="100" w:firstLine="210"/>
        <w:rPr>
          <w:rFonts w:ascii="メイリオ" w:eastAsia="メイリオ" w:hAnsi="メイリオ"/>
        </w:rPr>
      </w:pPr>
      <w:r w:rsidRPr="00DA40EB">
        <w:rPr>
          <w:rFonts w:ascii="メイリオ" w:eastAsia="メイリオ" w:hAnsi="メイリオ" w:hint="eastAsia"/>
        </w:rPr>
        <w:t>大阪・関西万博では、持続可能な運営を目指し、物品やサービスの調達プロセスにおける持続可能性への配慮を実現するための基準や運用方法等を定めた「持続可能性に配慮した調達コード」を策定しています。</w:t>
      </w:r>
    </w:p>
    <w:p w14:paraId="50476BA3" w14:textId="57C05F4B" w:rsidR="00DA40EB" w:rsidRPr="00DA40EB" w:rsidRDefault="00290813" w:rsidP="00290813">
      <w:pPr>
        <w:ind w:firstLineChars="100" w:firstLine="210"/>
        <w:rPr>
          <w:rFonts w:ascii="メイリオ" w:eastAsia="メイリオ" w:hAnsi="メイリオ"/>
        </w:rPr>
      </w:pPr>
      <w:r>
        <w:rPr>
          <w:rFonts w:ascii="メイリオ" w:eastAsia="メイリオ" w:hAnsi="メイリオ" w:hint="eastAsia"/>
        </w:rPr>
        <w:t>受注</w:t>
      </w:r>
      <w:r w:rsidRPr="00290813">
        <w:rPr>
          <w:rFonts w:ascii="メイリオ" w:eastAsia="メイリオ" w:hAnsi="メイリオ" w:hint="eastAsia"/>
        </w:rPr>
        <w:t>者</w:t>
      </w:r>
      <w:r w:rsidR="00D94A73">
        <w:rPr>
          <w:rFonts w:ascii="メイリオ" w:eastAsia="メイリオ" w:hAnsi="メイリオ" w:hint="eastAsia"/>
        </w:rPr>
        <w:t>に</w:t>
      </w:r>
      <w:r w:rsidRPr="00290813">
        <w:rPr>
          <w:rFonts w:ascii="メイリオ" w:eastAsia="メイリオ" w:hAnsi="メイリオ" w:hint="eastAsia"/>
        </w:rPr>
        <w:t>は、</w:t>
      </w:r>
      <w:r w:rsidR="00DC3BE2">
        <w:rPr>
          <w:rFonts w:ascii="メイリオ" w:eastAsia="メイリオ" w:hAnsi="メイリオ" w:hint="eastAsia"/>
        </w:rPr>
        <w:t>受注</w:t>
      </w:r>
      <w:r>
        <w:rPr>
          <w:rFonts w:ascii="メイリオ" w:eastAsia="メイリオ" w:hAnsi="メイリオ" w:hint="eastAsia"/>
        </w:rPr>
        <w:t>内容の</w:t>
      </w:r>
      <w:r w:rsidRPr="00290813">
        <w:rPr>
          <w:rFonts w:ascii="メイリオ" w:eastAsia="メイリオ" w:hAnsi="メイリオ" w:hint="eastAsia"/>
        </w:rPr>
        <w:t>履行にあたって「持続可能性に配慮した調達コード」</w:t>
      </w:r>
      <w:r w:rsidR="00DE3A17">
        <w:rPr>
          <w:rFonts w:ascii="メイリオ" w:eastAsia="メイリオ" w:hAnsi="メイリオ" w:hint="eastAsia"/>
        </w:rPr>
        <w:t>に示された</w:t>
      </w:r>
      <w:r w:rsidRPr="00290813">
        <w:rPr>
          <w:rFonts w:ascii="メイリオ" w:eastAsia="メイリオ" w:hAnsi="メイリオ" w:hint="eastAsia"/>
        </w:rPr>
        <w:t>基準・ルール等の内容の理解に努め、これを遵守する</w:t>
      </w:r>
      <w:r w:rsidR="00D94A73">
        <w:rPr>
          <w:rFonts w:ascii="メイリオ" w:eastAsia="メイリオ" w:hAnsi="メイリオ" w:hint="eastAsia"/>
        </w:rPr>
        <w:t>ことを求めてい</w:t>
      </w:r>
      <w:r>
        <w:rPr>
          <w:rFonts w:ascii="メイリオ" w:eastAsia="メイリオ" w:hAnsi="メイリオ" w:hint="eastAsia"/>
        </w:rPr>
        <w:t>ます</w:t>
      </w:r>
      <w:r w:rsidRPr="00290813">
        <w:rPr>
          <w:rFonts w:ascii="メイリオ" w:eastAsia="メイリオ" w:hAnsi="メイリオ" w:hint="eastAsia"/>
        </w:rPr>
        <w:t>。</w:t>
      </w:r>
    </w:p>
    <w:p w14:paraId="197D3E82" w14:textId="74D3BBAB" w:rsidR="00DA40EB" w:rsidRPr="00DA40EB" w:rsidRDefault="00DA40EB" w:rsidP="00DA40EB">
      <w:pPr>
        <w:rPr>
          <w:rFonts w:ascii="メイリオ" w:eastAsia="メイリオ" w:hAnsi="メイリオ"/>
        </w:rPr>
      </w:pPr>
    </w:p>
    <w:p w14:paraId="1EAA9DFB" w14:textId="6A7C69BC" w:rsidR="00DA40EB" w:rsidRPr="00DA40EB" w:rsidRDefault="00DA40EB" w:rsidP="00DA40EB">
      <w:pPr>
        <w:rPr>
          <w:rFonts w:ascii="メイリオ" w:eastAsia="メイリオ" w:hAnsi="メイリオ"/>
          <w:b/>
          <w:u w:val="single"/>
        </w:rPr>
      </w:pPr>
      <w:r>
        <w:rPr>
          <w:rFonts w:ascii="メイリオ" w:eastAsia="メイリオ" w:hAnsi="メイリオ" w:hint="eastAsia"/>
          <w:b/>
          <w:u w:val="single"/>
        </w:rPr>
        <w:t>2</w:t>
      </w:r>
      <w:r w:rsidRPr="00DA40EB">
        <w:rPr>
          <w:rFonts w:ascii="メイリオ" w:eastAsia="メイリオ" w:hAnsi="メイリオ" w:hint="eastAsia"/>
          <w:b/>
          <w:u w:val="single"/>
        </w:rPr>
        <w:t>．</w:t>
      </w:r>
      <w:r>
        <w:rPr>
          <w:rFonts w:ascii="メイリオ" w:eastAsia="メイリオ" w:hAnsi="メイリオ" w:hint="eastAsia"/>
          <w:b/>
          <w:u w:val="single"/>
        </w:rPr>
        <w:t>チェックシート及び誓約書の提出について</w:t>
      </w:r>
    </w:p>
    <w:p w14:paraId="21FC2EFA" w14:textId="018DD79B" w:rsidR="00DA40EB" w:rsidRDefault="00D94A73" w:rsidP="00DA40EB">
      <w:pPr>
        <w:ind w:firstLineChars="100" w:firstLine="210"/>
        <w:rPr>
          <w:rFonts w:ascii="メイリオ" w:eastAsia="メイリオ" w:hAnsi="メイリオ"/>
        </w:rPr>
      </w:pPr>
      <w:r>
        <w:rPr>
          <w:rFonts w:ascii="メイリオ" w:eastAsia="メイリオ" w:hAnsi="メイリオ" w:hint="eastAsia"/>
        </w:rPr>
        <w:t>受注</w:t>
      </w:r>
      <w:r w:rsidR="00DA40EB" w:rsidRPr="00DA40EB">
        <w:rPr>
          <w:rFonts w:ascii="メイリオ" w:eastAsia="メイリオ" w:hAnsi="メイリオ" w:hint="eastAsia"/>
        </w:rPr>
        <w:t>を希望する</w:t>
      </w:r>
      <w:r>
        <w:rPr>
          <w:rFonts w:ascii="メイリオ" w:eastAsia="メイリオ" w:hAnsi="メイリオ" w:hint="eastAsia"/>
        </w:rPr>
        <w:t>事業</w:t>
      </w:r>
      <w:r w:rsidR="00DA40EB" w:rsidRPr="00DA40EB">
        <w:rPr>
          <w:rFonts w:ascii="メイリオ" w:eastAsia="メイリオ" w:hAnsi="メイリオ" w:hint="eastAsia"/>
        </w:rPr>
        <w:t>者は、事前に</w:t>
      </w:r>
      <w:r w:rsidR="00DA40EB">
        <w:rPr>
          <w:rFonts w:ascii="メイリオ" w:eastAsia="メイリオ" w:hAnsi="メイリオ" w:hint="eastAsia"/>
        </w:rPr>
        <w:t>「</w:t>
      </w:r>
      <w:r w:rsidR="00DA40EB" w:rsidRPr="00DA40EB">
        <w:rPr>
          <w:rFonts w:ascii="メイリオ" w:eastAsia="メイリオ" w:hAnsi="メイリオ" w:hint="eastAsia"/>
        </w:rPr>
        <w:t>持続可能性の確保に向けた取組状況について（チェックシート）</w:t>
      </w:r>
      <w:r w:rsidR="00DA40EB">
        <w:rPr>
          <w:rFonts w:ascii="メイリオ" w:eastAsia="メイリオ" w:hAnsi="メイリオ" w:hint="eastAsia"/>
        </w:rPr>
        <w:t>」</w:t>
      </w:r>
      <w:r w:rsidR="00814FA5">
        <w:rPr>
          <w:rFonts w:ascii="メイリオ" w:eastAsia="メイリオ" w:hAnsi="メイリオ" w:hint="eastAsia"/>
        </w:rPr>
        <w:t>を</w:t>
      </w:r>
      <w:r w:rsidR="00DA40EB">
        <w:rPr>
          <w:rFonts w:ascii="メイリオ" w:eastAsia="メイリオ" w:hAnsi="メイリオ" w:hint="eastAsia"/>
        </w:rPr>
        <w:t>提出</w:t>
      </w:r>
      <w:r w:rsidR="00814FA5">
        <w:rPr>
          <w:rFonts w:ascii="メイリオ" w:eastAsia="メイリオ" w:hAnsi="メイリオ" w:hint="eastAsia"/>
        </w:rPr>
        <w:t>し</w:t>
      </w:r>
      <w:r w:rsidR="005468AE">
        <w:rPr>
          <w:rFonts w:ascii="メイリオ" w:eastAsia="メイリオ" w:hAnsi="メイリオ" w:hint="eastAsia"/>
        </w:rPr>
        <w:t>なければいけません</w:t>
      </w:r>
      <w:r w:rsidR="00DA40EB">
        <w:rPr>
          <w:rFonts w:ascii="メイリオ" w:eastAsia="メイリオ" w:hAnsi="メイリオ" w:hint="eastAsia"/>
        </w:rPr>
        <w:t>。</w:t>
      </w:r>
      <w:r w:rsidR="00EF78D7">
        <w:rPr>
          <w:rFonts w:ascii="メイリオ" w:eastAsia="メイリオ" w:hAnsi="メイリオ" w:hint="eastAsia"/>
        </w:rPr>
        <w:t>（</w:t>
      </w:r>
      <w:r w:rsidR="00EF78D7" w:rsidRPr="00EF78D7">
        <w:rPr>
          <w:rFonts w:ascii="メイリオ" w:eastAsia="メイリオ" w:hAnsi="メイリオ" w:hint="eastAsia"/>
        </w:rPr>
        <w:t>見積提出事業者全て</w:t>
      </w:r>
      <w:r w:rsidR="00DE3A17">
        <w:rPr>
          <w:rFonts w:ascii="メイリオ" w:eastAsia="メイリオ" w:hAnsi="メイリオ" w:hint="eastAsia"/>
        </w:rPr>
        <w:t>。エクセル形式</w:t>
      </w:r>
      <w:r w:rsidR="00EF78D7">
        <w:rPr>
          <w:rFonts w:ascii="メイリオ" w:eastAsia="メイリオ" w:hAnsi="メイリオ" w:hint="eastAsia"/>
        </w:rPr>
        <w:t>）</w:t>
      </w:r>
    </w:p>
    <w:p w14:paraId="274A45B2" w14:textId="0E8A1D5F" w:rsidR="00DA40EB" w:rsidRPr="00DA40EB" w:rsidRDefault="00DA40EB" w:rsidP="0031719B">
      <w:pPr>
        <w:ind w:firstLineChars="100" w:firstLine="210"/>
        <w:rPr>
          <w:rFonts w:ascii="メイリオ" w:eastAsia="メイリオ" w:hAnsi="メイリオ"/>
        </w:rPr>
      </w:pPr>
      <w:r>
        <w:rPr>
          <w:rFonts w:ascii="メイリオ" w:eastAsia="メイリオ" w:hAnsi="メイリオ" w:hint="eastAsia"/>
        </w:rPr>
        <w:t>また、</w:t>
      </w:r>
      <w:r w:rsidR="0031719B">
        <w:rPr>
          <w:rFonts w:ascii="メイリオ" w:eastAsia="メイリオ" w:hAnsi="メイリオ" w:hint="eastAsia"/>
        </w:rPr>
        <w:t>契約時には</w:t>
      </w:r>
      <w:r w:rsidR="00667D63">
        <w:rPr>
          <w:rFonts w:ascii="メイリオ" w:eastAsia="メイリオ" w:hAnsi="メイリオ" w:hint="eastAsia"/>
        </w:rPr>
        <w:t>「</w:t>
      </w:r>
      <w:r w:rsidR="00667D63" w:rsidRPr="00667D63">
        <w:rPr>
          <w:rFonts w:ascii="メイリオ" w:eastAsia="メイリオ" w:hAnsi="メイリオ" w:hint="eastAsia"/>
        </w:rPr>
        <w:t>持続可能性の確保に向けた誓約書</w:t>
      </w:r>
      <w:r w:rsidR="00667D63">
        <w:rPr>
          <w:rFonts w:ascii="メイリオ" w:eastAsia="メイリオ" w:hAnsi="メイリオ" w:hint="eastAsia"/>
        </w:rPr>
        <w:t>」</w:t>
      </w:r>
      <w:r w:rsidR="00814FA5">
        <w:rPr>
          <w:rFonts w:ascii="メイリオ" w:eastAsia="メイリオ" w:hAnsi="メイリオ" w:hint="eastAsia"/>
        </w:rPr>
        <w:t>を</w:t>
      </w:r>
      <w:r w:rsidR="00D94A73">
        <w:rPr>
          <w:rFonts w:ascii="メイリオ" w:eastAsia="メイリオ" w:hAnsi="メイリオ" w:hint="eastAsia"/>
        </w:rPr>
        <w:t>提出</w:t>
      </w:r>
      <w:r w:rsidR="00814FA5">
        <w:rPr>
          <w:rFonts w:ascii="メイリオ" w:eastAsia="メイリオ" w:hAnsi="メイリオ" w:hint="eastAsia"/>
        </w:rPr>
        <w:t>し</w:t>
      </w:r>
      <w:r w:rsidR="005468AE">
        <w:rPr>
          <w:rFonts w:ascii="メイリオ" w:eastAsia="メイリオ" w:hAnsi="メイリオ" w:hint="eastAsia"/>
        </w:rPr>
        <w:t>なければいけません</w:t>
      </w:r>
      <w:r w:rsidR="0031719B" w:rsidRPr="0031719B">
        <w:rPr>
          <w:rFonts w:ascii="メイリオ" w:eastAsia="メイリオ" w:hAnsi="メイリオ" w:hint="eastAsia"/>
        </w:rPr>
        <w:t>。</w:t>
      </w:r>
      <w:r w:rsidR="0031719B">
        <w:rPr>
          <w:rFonts w:ascii="メイリオ" w:eastAsia="メイリオ" w:hAnsi="メイリオ" w:hint="eastAsia"/>
        </w:rPr>
        <w:t>（</w:t>
      </w:r>
      <w:r w:rsidR="00667D63">
        <w:rPr>
          <w:rFonts w:ascii="メイリオ" w:eastAsia="メイリオ" w:hAnsi="メイリオ" w:hint="eastAsia"/>
        </w:rPr>
        <w:t>契約者のみ。</w:t>
      </w:r>
      <w:r w:rsidR="0031719B">
        <w:rPr>
          <w:rFonts w:ascii="メイリオ" w:eastAsia="メイリオ" w:hAnsi="メイリオ" w:hint="eastAsia"/>
        </w:rPr>
        <w:t>契約書を締結しない場合は発注が確定した時</w:t>
      </w:r>
      <w:r w:rsidR="00D94A73">
        <w:rPr>
          <w:rFonts w:ascii="メイリオ" w:eastAsia="メイリオ" w:hAnsi="メイリオ" w:hint="eastAsia"/>
        </w:rPr>
        <w:t>に提出</w:t>
      </w:r>
      <w:r w:rsidR="0031719B">
        <w:rPr>
          <w:rFonts w:ascii="メイリオ" w:eastAsia="メイリオ" w:hAnsi="メイリオ" w:hint="eastAsia"/>
        </w:rPr>
        <w:t>）</w:t>
      </w:r>
    </w:p>
    <w:p w14:paraId="200D380E" w14:textId="77777777" w:rsidR="00DA40EB" w:rsidRDefault="00DA40EB" w:rsidP="0031719B">
      <w:pPr>
        <w:rPr>
          <w:rFonts w:ascii="メイリオ" w:eastAsia="メイリオ" w:hAnsi="メイリオ"/>
        </w:rPr>
      </w:pPr>
    </w:p>
    <w:p w14:paraId="0D68160B" w14:textId="74C2C419" w:rsidR="0031719B" w:rsidRPr="00DA40EB" w:rsidRDefault="0031719B" w:rsidP="0031719B">
      <w:pPr>
        <w:rPr>
          <w:rFonts w:ascii="メイリオ" w:eastAsia="メイリオ" w:hAnsi="メイリオ"/>
          <w:b/>
          <w:u w:val="single"/>
        </w:rPr>
      </w:pPr>
      <w:r>
        <w:rPr>
          <w:rFonts w:ascii="メイリオ" w:eastAsia="メイリオ" w:hAnsi="メイリオ" w:hint="eastAsia"/>
          <w:b/>
          <w:u w:val="single"/>
        </w:rPr>
        <w:t>3</w:t>
      </w:r>
      <w:r w:rsidRPr="00DA40EB">
        <w:rPr>
          <w:rFonts w:ascii="メイリオ" w:eastAsia="メイリオ" w:hAnsi="メイリオ" w:hint="eastAsia"/>
          <w:b/>
          <w:u w:val="single"/>
        </w:rPr>
        <w:t>．</w:t>
      </w:r>
      <w:r w:rsidRPr="0031719B">
        <w:rPr>
          <w:rFonts w:ascii="メイリオ" w:eastAsia="メイリオ" w:hAnsi="メイリオ" w:hint="eastAsia"/>
          <w:b/>
          <w:u w:val="single"/>
        </w:rPr>
        <w:t>持続可能性の確保に関する特約条項</w:t>
      </w:r>
    </w:p>
    <w:p w14:paraId="4F5C57E6" w14:textId="0C09E23A" w:rsidR="0031719B" w:rsidRPr="00DA40EB" w:rsidRDefault="0031719B" w:rsidP="0031719B">
      <w:pPr>
        <w:ind w:firstLineChars="100" w:firstLine="210"/>
        <w:rPr>
          <w:rFonts w:ascii="メイリオ" w:eastAsia="メイリオ" w:hAnsi="メイリオ"/>
        </w:rPr>
      </w:pPr>
      <w:r>
        <w:rPr>
          <w:rFonts w:ascii="メイリオ" w:eastAsia="メイリオ" w:hAnsi="メイリオ" w:hint="eastAsia"/>
        </w:rPr>
        <w:t>契約書には</w:t>
      </w:r>
      <w:r w:rsidR="0002489B">
        <w:rPr>
          <w:rFonts w:ascii="メイリオ" w:eastAsia="メイリオ" w:hAnsi="メイリオ" w:hint="eastAsia"/>
        </w:rPr>
        <w:t>以下</w:t>
      </w:r>
      <w:r w:rsidR="00DC3BE2">
        <w:rPr>
          <w:rFonts w:ascii="メイリオ" w:eastAsia="メイリオ" w:hAnsi="メイリオ" w:hint="eastAsia"/>
        </w:rPr>
        <w:t>が</w:t>
      </w:r>
      <w:r>
        <w:rPr>
          <w:rFonts w:ascii="メイリオ" w:eastAsia="メイリオ" w:hAnsi="メイリオ" w:hint="eastAsia"/>
        </w:rPr>
        <w:t>特約条項</w:t>
      </w:r>
      <w:r w:rsidR="00DC3BE2">
        <w:rPr>
          <w:rFonts w:ascii="メイリオ" w:eastAsia="メイリオ" w:hAnsi="メイリオ" w:hint="eastAsia"/>
        </w:rPr>
        <w:t>として</w:t>
      </w:r>
      <w:r>
        <w:rPr>
          <w:rFonts w:ascii="メイリオ" w:eastAsia="メイリオ" w:hAnsi="メイリオ" w:hint="eastAsia"/>
        </w:rPr>
        <w:t>付加されます。（契約書を締結しない場合</w:t>
      </w:r>
      <w:r w:rsidR="00567C21">
        <w:rPr>
          <w:rFonts w:ascii="メイリオ" w:eastAsia="メイリオ" w:hAnsi="メイリオ" w:hint="eastAsia"/>
        </w:rPr>
        <w:t>は以下</w:t>
      </w:r>
      <w:r w:rsidR="00DC3BE2">
        <w:rPr>
          <w:rFonts w:ascii="メイリオ" w:eastAsia="メイリオ" w:hAnsi="メイリオ" w:hint="eastAsia"/>
        </w:rPr>
        <w:t>の条項</w:t>
      </w:r>
      <w:r w:rsidR="00567C21">
        <w:rPr>
          <w:rFonts w:ascii="メイリオ" w:eastAsia="メイリオ" w:hAnsi="メイリオ" w:hint="eastAsia"/>
        </w:rPr>
        <w:t>を特記仕様書として扱います</w:t>
      </w:r>
      <w:r>
        <w:rPr>
          <w:rFonts w:ascii="メイリオ" w:eastAsia="メイリオ" w:hAnsi="メイリオ" w:hint="eastAsia"/>
        </w:rPr>
        <w:t>）</w:t>
      </w:r>
    </w:p>
    <w:p w14:paraId="5EF36E26" w14:textId="3BD59041" w:rsidR="00DA40EB" w:rsidRPr="00567C21" w:rsidRDefault="00DA40EB" w:rsidP="00DA40EB">
      <w:pPr>
        <w:rPr>
          <w:rFonts w:ascii="メイリオ" w:eastAsia="メイリオ" w:hAnsi="メイリオ"/>
        </w:rPr>
      </w:pPr>
    </w:p>
    <w:p w14:paraId="1DB45C96" w14:textId="77777777" w:rsidR="0031719B" w:rsidRPr="00567C21" w:rsidRDefault="0031719B" w:rsidP="0031719B">
      <w:pPr>
        <w:spacing w:line="300" w:lineRule="exact"/>
        <w:ind w:left="277" w:hangingChars="132" w:hanging="277"/>
        <w:rPr>
          <w:rFonts w:ascii="メイリオ" w:eastAsia="メイリオ" w:hAnsi="メイリオ"/>
          <w:b/>
          <w:szCs w:val="21"/>
        </w:rPr>
      </w:pPr>
      <w:r w:rsidRPr="00567C21">
        <w:rPr>
          <w:rFonts w:ascii="メイリオ" w:eastAsia="メイリオ" w:hAnsi="メイリオ" w:hint="eastAsia"/>
          <w:b/>
          <w:szCs w:val="21"/>
        </w:rPr>
        <w:t>（持続可能性の確保）</w:t>
      </w:r>
    </w:p>
    <w:p w14:paraId="2B50A090" w14:textId="77777777" w:rsidR="0031719B" w:rsidRPr="0031719B" w:rsidRDefault="0031719B" w:rsidP="0031719B">
      <w:pPr>
        <w:spacing w:line="300" w:lineRule="exact"/>
        <w:ind w:left="277" w:hangingChars="132" w:hanging="277"/>
        <w:rPr>
          <w:rFonts w:ascii="メイリオ" w:eastAsia="メイリオ" w:hAnsi="メイリオ"/>
          <w:szCs w:val="21"/>
        </w:rPr>
      </w:pPr>
      <w:r w:rsidRPr="0031719B">
        <w:rPr>
          <w:rFonts w:ascii="メイリオ" w:eastAsia="メイリオ" w:hAnsi="メイリオ" w:hint="eastAsia"/>
          <w:szCs w:val="21"/>
        </w:rPr>
        <w:t>第１条　受注者は、法令の遵守、環境・人権・労働・公正な事業慣行や地域経済への配慮など幅広い持続可能性の確保に向けた取組みを推進するとともに、広く社会に持続可能性を重視する姿勢が定着するよう働きかけるものとする。</w:t>
      </w:r>
    </w:p>
    <w:p w14:paraId="4F2C8562" w14:textId="77777777" w:rsidR="0031719B" w:rsidRPr="0031719B" w:rsidRDefault="0031719B" w:rsidP="0031719B">
      <w:pPr>
        <w:spacing w:line="300" w:lineRule="exact"/>
        <w:ind w:left="277" w:hangingChars="132" w:hanging="277"/>
        <w:rPr>
          <w:rFonts w:ascii="メイリオ" w:eastAsia="メイリオ" w:hAnsi="メイリオ"/>
          <w:szCs w:val="21"/>
        </w:rPr>
      </w:pPr>
      <w:r w:rsidRPr="0031719B">
        <w:rPr>
          <w:rFonts w:ascii="メイリオ" w:eastAsia="メイリオ" w:hAnsi="メイリオ" w:hint="eastAsia"/>
          <w:szCs w:val="21"/>
        </w:rPr>
        <w:t>２　受注者は、本契約の履行に際し、協会が別途定める「持続可能性に配慮した調達コード」（以下「調達コード」という。）の内容の理解に努め、これを遵守しなければならない。</w:t>
      </w:r>
    </w:p>
    <w:p w14:paraId="7A05EEF8" w14:textId="77777777" w:rsidR="0031719B" w:rsidRPr="0031719B" w:rsidRDefault="0031719B" w:rsidP="0031719B">
      <w:pPr>
        <w:spacing w:line="300" w:lineRule="exact"/>
        <w:ind w:left="277" w:hangingChars="132" w:hanging="277"/>
        <w:rPr>
          <w:rFonts w:asciiTheme="majorHAnsi" w:eastAsiaTheme="majorHAnsi" w:hAnsiTheme="majorHAnsi"/>
          <w:szCs w:val="21"/>
        </w:rPr>
      </w:pPr>
      <w:r w:rsidRPr="0031719B">
        <w:rPr>
          <w:rFonts w:asciiTheme="majorHAnsi" w:eastAsiaTheme="majorHAnsi" w:hAnsiTheme="majorHAnsi" w:hint="eastAsia"/>
          <w:szCs w:val="21"/>
        </w:rPr>
        <w:t>（https://www.expo2025.or.jp/wp/wp-content/uploads/220630_procurement_code.pdf）</w:t>
      </w:r>
    </w:p>
    <w:p w14:paraId="50AD8F49" w14:textId="77777777" w:rsidR="0031719B" w:rsidRPr="0031719B" w:rsidRDefault="0031719B" w:rsidP="0031719B">
      <w:pPr>
        <w:spacing w:line="300" w:lineRule="exact"/>
        <w:ind w:left="277" w:hangingChars="132" w:hanging="277"/>
        <w:rPr>
          <w:rFonts w:ascii="メイリオ" w:eastAsia="メイリオ" w:hAnsi="メイリオ"/>
          <w:szCs w:val="21"/>
        </w:rPr>
      </w:pPr>
      <w:r w:rsidRPr="0031719B">
        <w:rPr>
          <w:rFonts w:ascii="メイリオ" w:eastAsia="メイリオ" w:hAnsi="メイリオ" w:hint="eastAsia"/>
          <w:szCs w:val="21"/>
        </w:rPr>
        <w:t>３　受注者は、協会が受注者におけるサプライチェーンに対する調査・働きかけを含む調達コードの遵守に向けた取組状況について報告を求めるときは、開示・説明に努めるものとする。</w:t>
      </w:r>
    </w:p>
    <w:p w14:paraId="2D5ED2A4" w14:textId="77777777" w:rsidR="0031719B" w:rsidRPr="0031719B" w:rsidRDefault="0031719B" w:rsidP="0031719B">
      <w:pPr>
        <w:spacing w:line="300" w:lineRule="exact"/>
        <w:ind w:left="277" w:hangingChars="132" w:hanging="277"/>
        <w:rPr>
          <w:rFonts w:ascii="メイリオ" w:eastAsia="メイリオ" w:hAnsi="メイリオ"/>
          <w:szCs w:val="21"/>
        </w:rPr>
      </w:pPr>
      <w:r w:rsidRPr="0031719B">
        <w:rPr>
          <w:rFonts w:ascii="メイリオ" w:eastAsia="メイリオ" w:hAnsi="メイリオ" w:hint="eastAsia"/>
          <w:szCs w:val="21"/>
        </w:rPr>
        <w:t>４　受注者は、協会が受注者による調達コードの遵守状況について協会による確認・モニタリング又は協会の指定する第三者による調査の受入れを求めるときは、これに協力するものとする。ただし、受注者が協力に支障のあることについて正当な理由を有するときは、この限りではない。</w:t>
      </w:r>
    </w:p>
    <w:p w14:paraId="29C39F5E" w14:textId="77777777" w:rsidR="0031719B" w:rsidRPr="0031719B" w:rsidRDefault="0031719B" w:rsidP="0031719B">
      <w:pPr>
        <w:spacing w:line="300" w:lineRule="exact"/>
        <w:ind w:left="277" w:hangingChars="132" w:hanging="277"/>
        <w:rPr>
          <w:rFonts w:ascii="メイリオ" w:eastAsia="メイリオ" w:hAnsi="メイリオ"/>
          <w:szCs w:val="21"/>
        </w:rPr>
      </w:pPr>
      <w:r w:rsidRPr="0031719B">
        <w:rPr>
          <w:rFonts w:ascii="メイリオ" w:eastAsia="メイリオ" w:hAnsi="メイリオ" w:hint="eastAsia"/>
          <w:szCs w:val="21"/>
        </w:rPr>
        <w:t>５　協会が受注者による調達コードの不遵守を理由に改善措置を求めるときは、受注者は、改善に取り組み、その結果を協会に報告しなければならない。</w:t>
      </w:r>
    </w:p>
    <w:p w14:paraId="365AF274" w14:textId="03444FEE" w:rsidR="00E85243" w:rsidRDefault="00E85243" w:rsidP="00E85243">
      <w:pPr>
        <w:pStyle w:val="a5"/>
      </w:pPr>
      <w:r>
        <w:rPr>
          <w:rFonts w:hint="eastAsia"/>
        </w:rPr>
        <w:t>以上</w:t>
      </w:r>
    </w:p>
    <w:sectPr w:rsidR="00E85243" w:rsidSect="00290813">
      <w:pgSz w:w="11906" w:h="16838" w:code="9"/>
      <w:pgMar w:top="1418" w:right="1701" w:bottom="1134"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6824" w14:textId="77777777" w:rsidR="00EF1A57" w:rsidRDefault="00EF1A57" w:rsidP="00FC5A1C">
      <w:r>
        <w:separator/>
      </w:r>
    </w:p>
  </w:endnote>
  <w:endnote w:type="continuationSeparator" w:id="0">
    <w:p w14:paraId="4910687E" w14:textId="77777777" w:rsidR="00EF1A57" w:rsidRDefault="00EF1A57" w:rsidP="00FC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F272" w14:textId="77777777" w:rsidR="00EF1A57" w:rsidRDefault="00EF1A57" w:rsidP="00FC5A1C">
      <w:r>
        <w:separator/>
      </w:r>
    </w:p>
  </w:footnote>
  <w:footnote w:type="continuationSeparator" w:id="0">
    <w:p w14:paraId="0124F33C" w14:textId="77777777" w:rsidR="00EF1A57" w:rsidRDefault="00EF1A57" w:rsidP="00FC5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6A62"/>
    <w:multiLevelType w:val="hybridMultilevel"/>
    <w:tmpl w:val="EF9AA4C2"/>
    <w:lvl w:ilvl="0" w:tplc="E8A82FD2">
      <w:start w:val="1"/>
      <w:numFmt w:val="decimalFullWidth"/>
      <w:lvlText w:val="（%1）"/>
      <w:lvlJc w:val="left"/>
      <w:pPr>
        <w:ind w:left="804" w:hanging="7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 w15:restartNumberingAfterBreak="0">
    <w:nsid w:val="34753A6C"/>
    <w:multiLevelType w:val="hybridMultilevel"/>
    <w:tmpl w:val="242C282A"/>
    <w:lvl w:ilvl="0" w:tplc="7AD84C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967E0B"/>
    <w:multiLevelType w:val="hybridMultilevel"/>
    <w:tmpl w:val="74CC1F5E"/>
    <w:lvl w:ilvl="0" w:tplc="DC402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7C"/>
    <w:rsid w:val="0002489B"/>
    <w:rsid w:val="00044CCB"/>
    <w:rsid w:val="0006212D"/>
    <w:rsid w:val="000940F9"/>
    <w:rsid w:val="000B496F"/>
    <w:rsid w:val="000B5140"/>
    <w:rsid w:val="0016167C"/>
    <w:rsid w:val="001B1FDD"/>
    <w:rsid w:val="0021564A"/>
    <w:rsid w:val="00290813"/>
    <w:rsid w:val="002C1E0F"/>
    <w:rsid w:val="0031719B"/>
    <w:rsid w:val="00317AFC"/>
    <w:rsid w:val="003F2D8A"/>
    <w:rsid w:val="00435268"/>
    <w:rsid w:val="00444228"/>
    <w:rsid w:val="0046363F"/>
    <w:rsid w:val="004928BE"/>
    <w:rsid w:val="00500B68"/>
    <w:rsid w:val="005042E2"/>
    <w:rsid w:val="005468AE"/>
    <w:rsid w:val="00557A46"/>
    <w:rsid w:val="00567C21"/>
    <w:rsid w:val="00576A00"/>
    <w:rsid w:val="005C02FF"/>
    <w:rsid w:val="005D642B"/>
    <w:rsid w:val="00603020"/>
    <w:rsid w:val="006034E6"/>
    <w:rsid w:val="0060630B"/>
    <w:rsid w:val="00627012"/>
    <w:rsid w:val="0063278D"/>
    <w:rsid w:val="0066239D"/>
    <w:rsid w:val="00667D63"/>
    <w:rsid w:val="00683E61"/>
    <w:rsid w:val="006B608F"/>
    <w:rsid w:val="006F05D8"/>
    <w:rsid w:val="00714380"/>
    <w:rsid w:val="0078481C"/>
    <w:rsid w:val="00801F56"/>
    <w:rsid w:val="00814FA5"/>
    <w:rsid w:val="00886402"/>
    <w:rsid w:val="008900BA"/>
    <w:rsid w:val="008F2B8A"/>
    <w:rsid w:val="00952AA2"/>
    <w:rsid w:val="009D1119"/>
    <w:rsid w:val="00A171F1"/>
    <w:rsid w:val="00A320A0"/>
    <w:rsid w:val="00AF0325"/>
    <w:rsid w:val="00B07990"/>
    <w:rsid w:val="00B22C00"/>
    <w:rsid w:val="00B51240"/>
    <w:rsid w:val="00B521AD"/>
    <w:rsid w:val="00BB6D3B"/>
    <w:rsid w:val="00BC1391"/>
    <w:rsid w:val="00CF7F47"/>
    <w:rsid w:val="00D21D6C"/>
    <w:rsid w:val="00D52FEE"/>
    <w:rsid w:val="00D65609"/>
    <w:rsid w:val="00D94A73"/>
    <w:rsid w:val="00DA40EB"/>
    <w:rsid w:val="00DA5462"/>
    <w:rsid w:val="00DC3BE2"/>
    <w:rsid w:val="00DD07D1"/>
    <w:rsid w:val="00DE0D2A"/>
    <w:rsid w:val="00DE3A17"/>
    <w:rsid w:val="00E85243"/>
    <w:rsid w:val="00E8686E"/>
    <w:rsid w:val="00EF1A57"/>
    <w:rsid w:val="00EF78D7"/>
    <w:rsid w:val="00F124C6"/>
    <w:rsid w:val="00F476B2"/>
    <w:rsid w:val="00FA10E0"/>
    <w:rsid w:val="00FB6D3E"/>
    <w:rsid w:val="00FC5A1C"/>
    <w:rsid w:val="00FD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4E68E7"/>
  <w15:chartTrackingRefBased/>
  <w15:docId w15:val="{E60AC84F-1C5B-4AB6-B246-337CB8D1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642B"/>
  </w:style>
  <w:style w:type="character" w:customStyle="1" w:styleId="a4">
    <w:name w:val="日付 (文字)"/>
    <w:basedOn w:val="a0"/>
    <w:link w:val="a3"/>
    <w:uiPriority w:val="99"/>
    <w:semiHidden/>
    <w:rsid w:val="005D642B"/>
  </w:style>
  <w:style w:type="paragraph" w:styleId="a5">
    <w:name w:val="Closing"/>
    <w:basedOn w:val="a"/>
    <w:link w:val="a6"/>
    <w:uiPriority w:val="99"/>
    <w:unhideWhenUsed/>
    <w:rsid w:val="00E85243"/>
    <w:pPr>
      <w:jc w:val="right"/>
    </w:pPr>
    <w:rPr>
      <w:rFonts w:ascii="メイリオ" w:eastAsia="メイリオ" w:hAnsi="メイリオ"/>
    </w:rPr>
  </w:style>
  <w:style w:type="character" w:customStyle="1" w:styleId="a6">
    <w:name w:val="結語 (文字)"/>
    <w:basedOn w:val="a0"/>
    <w:link w:val="a5"/>
    <w:uiPriority w:val="99"/>
    <w:rsid w:val="00E85243"/>
    <w:rPr>
      <w:rFonts w:ascii="メイリオ" w:eastAsia="メイリオ" w:hAnsi="メイリオ"/>
    </w:rPr>
  </w:style>
  <w:style w:type="paragraph" w:styleId="a7">
    <w:name w:val="Balloon Text"/>
    <w:basedOn w:val="a"/>
    <w:link w:val="a8"/>
    <w:uiPriority w:val="99"/>
    <w:semiHidden/>
    <w:unhideWhenUsed/>
    <w:rsid w:val="001B1F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1FDD"/>
    <w:rPr>
      <w:rFonts w:asciiTheme="majorHAnsi" w:eastAsiaTheme="majorEastAsia" w:hAnsiTheme="majorHAnsi" w:cstheme="majorBidi"/>
      <w:sz w:val="18"/>
      <w:szCs w:val="18"/>
    </w:rPr>
  </w:style>
  <w:style w:type="paragraph" w:styleId="a9">
    <w:name w:val="header"/>
    <w:basedOn w:val="a"/>
    <w:link w:val="aa"/>
    <w:uiPriority w:val="99"/>
    <w:unhideWhenUsed/>
    <w:rsid w:val="00FC5A1C"/>
    <w:pPr>
      <w:tabs>
        <w:tab w:val="center" w:pos="4252"/>
        <w:tab w:val="right" w:pos="8504"/>
      </w:tabs>
      <w:snapToGrid w:val="0"/>
    </w:pPr>
  </w:style>
  <w:style w:type="character" w:customStyle="1" w:styleId="aa">
    <w:name w:val="ヘッダー (文字)"/>
    <w:basedOn w:val="a0"/>
    <w:link w:val="a9"/>
    <w:uiPriority w:val="99"/>
    <w:rsid w:val="00FC5A1C"/>
  </w:style>
  <w:style w:type="paragraph" w:styleId="ab">
    <w:name w:val="footer"/>
    <w:basedOn w:val="a"/>
    <w:link w:val="ac"/>
    <w:uiPriority w:val="99"/>
    <w:unhideWhenUsed/>
    <w:rsid w:val="00FC5A1C"/>
    <w:pPr>
      <w:tabs>
        <w:tab w:val="center" w:pos="4252"/>
        <w:tab w:val="right" w:pos="8504"/>
      </w:tabs>
      <w:snapToGrid w:val="0"/>
    </w:pPr>
  </w:style>
  <w:style w:type="character" w:customStyle="1" w:styleId="ac">
    <w:name w:val="フッター (文字)"/>
    <w:basedOn w:val="a0"/>
    <w:link w:val="ab"/>
    <w:uiPriority w:val="99"/>
    <w:rsid w:val="00FC5A1C"/>
  </w:style>
  <w:style w:type="character" w:styleId="ad">
    <w:name w:val="Hyperlink"/>
    <w:basedOn w:val="a0"/>
    <w:uiPriority w:val="99"/>
    <w:unhideWhenUsed/>
    <w:rsid w:val="00952AA2"/>
    <w:rPr>
      <w:color w:val="0563C1" w:themeColor="hyperlink"/>
      <w:u w:val="single"/>
    </w:rPr>
  </w:style>
  <w:style w:type="paragraph" w:styleId="ae">
    <w:name w:val="List Paragraph"/>
    <w:basedOn w:val="a"/>
    <w:uiPriority w:val="34"/>
    <w:qFormat/>
    <w:rsid w:val="00801F56"/>
    <w:pPr>
      <w:ind w:leftChars="400" w:left="840"/>
    </w:pPr>
  </w:style>
  <w:style w:type="character" w:styleId="af">
    <w:name w:val="Unresolved Mention"/>
    <w:basedOn w:val="a0"/>
    <w:uiPriority w:val="99"/>
    <w:semiHidden/>
    <w:unhideWhenUsed/>
    <w:rsid w:val="00801F56"/>
    <w:rPr>
      <w:color w:val="605E5C"/>
      <w:shd w:val="clear" w:color="auto" w:fill="E1DFDD"/>
    </w:rPr>
  </w:style>
  <w:style w:type="character" w:styleId="af0">
    <w:name w:val="FollowedHyperlink"/>
    <w:basedOn w:val="a0"/>
    <w:uiPriority w:val="99"/>
    <w:semiHidden/>
    <w:unhideWhenUsed/>
    <w:rsid w:val="00603020"/>
    <w:rPr>
      <w:color w:val="954F72" w:themeColor="followedHyperlink"/>
      <w:u w:val="single"/>
    </w:rPr>
  </w:style>
  <w:style w:type="character" w:styleId="af1">
    <w:name w:val="annotation reference"/>
    <w:basedOn w:val="a0"/>
    <w:uiPriority w:val="99"/>
    <w:semiHidden/>
    <w:unhideWhenUsed/>
    <w:rsid w:val="005042E2"/>
    <w:rPr>
      <w:sz w:val="18"/>
      <w:szCs w:val="18"/>
    </w:rPr>
  </w:style>
  <w:style w:type="paragraph" w:styleId="af2">
    <w:name w:val="annotation text"/>
    <w:basedOn w:val="a"/>
    <w:link w:val="af3"/>
    <w:uiPriority w:val="99"/>
    <w:semiHidden/>
    <w:unhideWhenUsed/>
    <w:rsid w:val="005042E2"/>
    <w:pPr>
      <w:jc w:val="left"/>
    </w:pPr>
  </w:style>
  <w:style w:type="character" w:customStyle="1" w:styleId="af3">
    <w:name w:val="コメント文字列 (文字)"/>
    <w:basedOn w:val="a0"/>
    <w:link w:val="af2"/>
    <w:uiPriority w:val="99"/>
    <w:semiHidden/>
    <w:rsid w:val="005042E2"/>
  </w:style>
  <w:style w:type="paragraph" w:styleId="af4">
    <w:name w:val="annotation subject"/>
    <w:basedOn w:val="af2"/>
    <w:next w:val="af2"/>
    <w:link w:val="af5"/>
    <w:uiPriority w:val="99"/>
    <w:semiHidden/>
    <w:unhideWhenUsed/>
    <w:rsid w:val="005042E2"/>
    <w:rPr>
      <w:b/>
      <w:bCs/>
    </w:rPr>
  </w:style>
  <w:style w:type="character" w:customStyle="1" w:styleId="af5">
    <w:name w:val="コメント内容 (文字)"/>
    <w:basedOn w:val="af3"/>
    <w:link w:val="af4"/>
    <w:uiPriority w:val="99"/>
    <w:semiHidden/>
    <w:rsid w:val="00504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591">
      <w:bodyDiv w:val="1"/>
      <w:marLeft w:val="0"/>
      <w:marRight w:val="0"/>
      <w:marTop w:val="0"/>
      <w:marBottom w:val="0"/>
      <w:divBdr>
        <w:top w:val="none" w:sz="0" w:space="0" w:color="auto"/>
        <w:left w:val="none" w:sz="0" w:space="0" w:color="auto"/>
        <w:bottom w:val="none" w:sz="0" w:space="0" w:color="auto"/>
        <w:right w:val="none" w:sz="0" w:space="0" w:color="auto"/>
      </w:divBdr>
    </w:div>
    <w:div w:id="346255236">
      <w:bodyDiv w:val="1"/>
      <w:marLeft w:val="0"/>
      <w:marRight w:val="0"/>
      <w:marTop w:val="0"/>
      <w:marBottom w:val="0"/>
      <w:divBdr>
        <w:top w:val="none" w:sz="0" w:space="0" w:color="auto"/>
        <w:left w:val="none" w:sz="0" w:space="0" w:color="auto"/>
        <w:bottom w:val="none" w:sz="0" w:space="0" w:color="auto"/>
        <w:right w:val="none" w:sz="0" w:space="0" w:color="auto"/>
      </w:divBdr>
    </w:div>
    <w:div w:id="569341396">
      <w:bodyDiv w:val="1"/>
      <w:marLeft w:val="0"/>
      <w:marRight w:val="0"/>
      <w:marTop w:val="0"/>
      <w:marBottom w:val="0"/>
      <w:divBdr>
        <w:top w:val="none" w:sz="0" w:space="0" w:color="auto"/>
        <w:left w:val="none" w:sz="0" w:space="0" w:color="auto"/>
        <w:bottom w:val="none" w:sz="0" w:space="0" w:color="auto"/>
        <w:right w:val="none" w:sz="0" w:space="0" w:color="auto"/>
      </w:divBdr>
    </w:div>
    <w:div w:id="645279567">
      <w:bodyDiv w:val="1"/>
      <w:marLeft w:val="0"/>
      <w:marRight w:val="0"/>
      <w:marTop w:val="0"/>
      <w:marBottom w:val="0"/>
      <w:divBdr>
        <w:top w:val="none" w:sz="0" w:space="0" w:color="auto"/>
        <w:left w:val="none" w:sz="0" w:space="0" w:color="auto"/>
        <w:bottom w:val="none" w:sz="0" w:space="0" w:color="auto"/>
        <w:right w:val="none" w:sz="0" w:space="0" w:color="auto"/>
      </w:divBdr>
    </w:div>
    <w:div w:id="1088966112">
      <w:bodyDiv w:val="1"/>
      <w:marLeft w:val="0"/>
      <w:marRight w:val="0"/>
      <w:marTop w:val="0"/>
      <w:marBottom w:val="0"/>
      <w:divBdr>
        <w:top w:val="none" w:sz="0" w:space="0" w:color="auto"/>
        <w:left w:val="none" w:sz="0" w:space="0" w:color="auto"/>
        <w:bottom w:val="none" w:sz="0" w:space="0" w:color="auto"/>
        <w:right w:val="none" w:sz="0" w:space="0" w:color="auto"/>
      </w:divBdr>
    </w:div>
    <w:div w:id="1148061122">
      <w:bodyDiv w:val="1"/>
      <w:marLeft w:val="0"/>
      <w:marRight w:val="0"/>
      <w:marTop w:val="0"/>
      <w:marBottom w:val="0"/>
      <w:divBdr>
        <w:top w:val="none" w:sz="0" w:space="0" w:color="auto"/>
        <w:left w:val="none" w:sz="0" w:space="0" w:color="auto"/>
        <w:bottom w:val="none" w:sz="0" w:space="0" w:color="auto"/>
        <w:right w:val="none" w:sz="0" w:space="0" w:color="auto"/>
      </w:divBdr>
    </w:div>
    <w:div w:id="1329940201">
      <w:bodyDiv w:val="1"/>
      <w:marLeft w:val="0"/>
      <w:marRight w:val="0"/>
      <w:marTop w:val="0"/>
      <w:marBottom w:val="0"/>
      <w:divBdr>
        <w:top w:val="none" w:sz="0" w:space="0" w:color="auto"/>
        <w:left w:val="none" w:sz="0" w:space="0" w:color="auto"/>
        <w:bottom w:val="none" w:sz="0" w:space="0" w:color="auto"/>
        <w:right w:val="none" w:sz="0" w:space="0" w:color="auto"/>
      </w:divBdr>
      <w:divsChild>
        <w:div w:id="2073505459">
          <w:marLeft w:val="0"/>
          <w:marRight w:val="0"/>
          <w:marTop w:val="0"/>
          <w:marBottom w:val="0"/>
          <w:divBdr>
            <w:top w:val="none" w:sz="0" w:space="0" w:color="auto"/>
            <w:left w:val="none" w:sz="0" w:space="0" w:color="auto"/>
            <w:bottom w:val="none" w:sz="0" w:space="0" w:color="auto"/>
            <w:right w:val="none" w:sz="0" w:space="0" w:color="auto"/>
          </w:divBdr>
        </w:div>
        <w:div w:id="438647667">
          <w:marLeft w:val="0"/>
          <w:marRight w:val="0"/>
          <w:marTop w:val="0"/>
          <w:marBottom w:val="0"/>
          <w:divBdr>
            <w:top w:val="none" w:sz="0" w:space="0" w:color="auto"/>
            <w:left w:val="none" w:sz="0" w:space="0" w:color="auto"/>
            <w:bottom w:val="none" w:sz="0" w:space="0" w:color="auto"/>
            <w:right w:val="none" w:sz="0" w:space="0" w:color="auto"/>
          </w:divBdr>
        </w:div>
      </w:divsChild>
    </w:div>
    <w:div w:id="1745225191">
      <w:bodyDiv w:val="1"/>
      <w:marLeft w:val="0"/>
      <w:marRight w:val="0"/>
      <w:marTop w:val="0"/>
      <w:marBottom w:val="0"/>
      <w:divBdr>
        <w:top w:val="none" w:sz="0" w:space="0" w:color="auto"/>
        <w:left w:val="none" w:sz="0" w:space="0" w:color="auto"/>
        <w:bottom w:val="none" w:sz="0" w:space="0" w:color="auto"/>
        <w:right w:val="none" w:sz="0" w:space="0" w:color="auto"/>
      </w:divBdr>
    </w:div>
    <w:div w:id="19594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志知 和明</dc:creator>
  <cp:keywords/>
  <dc:description/>
  <cp:lastModifiedBy>佐武　利江</cp:lastModifiedBy>
  <cp:revision>2</cp:revision>
  <cp:lastPrinted>2022-10-11T08:02:00Z</cp:lastPrinted>
  <dcterms:created xsi:type="dcterms:W3CDTF">2022-10-24T09:03:00Z</dcterms:created>
  <dcterms:modified xsi:type="dcterms:W3CDTF">2022-10-24T09:03:00Z</dcterms:modified>
</cp:coreProperties>
</file>